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keepNext w:val="0"/>
        <w:keepLines w:val="0"/>
        <w:pageBreakBefore w:val="0"/>
        <w:widowControl w:val="0"/>
        <w:tabs>
          <w:tab w:val="left" w:pos="4865"/>
          <w:tab w:val="left" w:pos="5625"/>
        </w:tabs>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佛山市南海区促进优质企业上市和发展扶持</w:t>
      </w:r>
    </w:p>
    <w:p>
      <w:pPr>
        <w:pStyle w:val="46"/>
        <w:keepNext w:val="0"/>
        <w:keepLines w:val="0"/>
        <w:pageBreakBefore w:val="0"/>
        <w:widowControl w:val="0"/>
        <w:tabs>
          <w:tab w:val="left" w:pos="4865"/>
          <w:tab w:val="left" w:pos="5625"/>
        </w:tabs>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办法</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年修订）</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宋体" w:hAnsi="宋体" w:eastAsia="仿宋_GB2312" w:cs="仿宋"/>
          <w:sz w:val="32"/>
          <w:szCs w:val="32"/>
        </w:rPr>
      </w:pP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rPr>
      </w:pPr>
      <w:r>
        <w:rPr>
          <w:rFonts w:hint="eastAsia" w:ascii="黑体" w:hAnsi="黑体" w:eastAsia="黑体" w:cs="黑体"/>
          <w:sz w:val="32"/>
          <w:szCs w:val="32"/>
        </w:rPr>
        <w:t>第一条</w:t>
      </w:r>
      <w:r>
        <w:rPr>
          <w:rFonts w:ascii="宋体" w:hAnsi="宋体" w:eastAsia="仿宋_GB2312" w:cs="仿宋"/>
          <w:sz w:val="32"/>
          <w:szCs w:val="32"/>
        </w:rPr>
        <w:t xml:space="preserve"> </w:t>
      </w:r>
      <w:r>
        <w:rPr>
          <w:rFonts w:hint="eastAsia" w:ascii="宋体" w:hAnsi="宋体" w:eastAsia="仿宋_GB2312" w:cs="仿宋"/>
          <w:sz w:val="32"/>
          <w:szCs w:val="32"/>
        </w:rPr>
        <w:t xml:space="preserve"> </w:t>
      </w:r>
      <w:r>
        <w:rPr>
          <w:rFonts w:ascii="宋体" w:hAnsi="宋体" w:eastAsia="仿宋_GB2312" w:cs="仿宋"/>
          <w:sz w:val="32"/>
          <w:szCs w:val="32"/>
        </w:rPr>
        <w:t>为进一步推动企业上市，鼓励引导优质企业运用资本市场实现跨越式发展，加快构建我区多层次资本市场，促进我区经济转型升级，特制定本办法。</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lang w:eastAsia="zh-CN"/>
        </w:rPr>
      </w:pPr>
      <w:r>
        <w:rPr>
          <w:rFonts w:hint="eastAsia" w:ascii="黑体" w:hAnsi="黑体" w:eastAsia="黑体" w:cs="黑体"/>
          <w:sz w:val="32"/>
          <w:szCs w:val="32"/>
        </w:rPr>
        <w:t>第二条</w:t>
      </w:r>
      <w:r>
        <w:rPr>
          <w:rFonts w:ascii="宋体" w:hAnsi="宋体" w:eastAsia="仿宋_GB2312" w:cs="仿宋"/>
          <w:sz w:val="32"/>
          <w:szCs w:val="32"/>
        </w:rPr>
        <w:t xml:space="preserve"> </w:t>
      </w:r>
      <w:r>
        <w:rPr>
          <w:rFonts w:hint="eastAsia" w:ascii="宋体" w:hAnsi="宋体" w:eastAsia="仿宋_GB2312" w:cs="仿宋"/>
          <w:sz w:val="32"/>
          <w:szCs w:val="32"/>
        </w:rPr>
        <w:t xml:space="preserve"> 本办法所称资本市场是指上海证券交易所、深圳证券交易所、</w:t>
      </w:r>
      <w:r>
        <w:rPr>
          <w:rFonts w:hint="eastAsia" w:ascii="宋体" w:hAnsi="宋体" w:eastAsia="仿宋_GB2312" w:cs="仿宋"/>
          <w:sz w:val="32"/>
          <w:szCs w:val="32"/>
          <w:lang w:val="en-US" w:eastAsia="zh-CN"/>
        </w:rPr>
        <w:t>北京证券交易所、</w:t>
      </w:r>
      <w:r>
        <w:rPr>
          <w:rFonts w:hint="eastAsia" w:ascii="宋体" w:hAnsi="宋体" w:eastAsia="仿宋_GB2312" w:cs="仿宋"/>
          <w:sz w:val="32"/>
          <w:szCs w:val="32"/>
        </w:rPr>
        <w:t>全国中小企业股份转让系统（以下简称“新三板”）、区政府认可的区域性股权交易市场（如广东股权交易中心等）及境外</w:t>
      </w:r>
      <w:r>
        <w:rPr>
          <w:rFonts w:hint="eastAsia" w:ascii="宋体" w:hAnsi="宋体" w:eastAsia="仿宋_GB2312" w:cs="仿宋"/>
          <w:sz w:val="32"/>
          <w:szCs w:val="32"/>
          <w:lang w:val="en-US" w:eastAsia="zh-CN"/>
        </w:rPr>
        <w:t>资本市场</w:t>
      </w:r>
      <w:r>
        <w:rPr>
          <w:rFonts w:hint="eastAsia" w:ascii="宋体" w:hAnsi="宋体" w:eastAsia="仿宋_GB2312" w:cs="仿宋"/>
          <w:sz w:val="32"/>
          <w:szCs w:val="32"/>
        </w:rPr>
        <w:t>（如香港联交所、美国纳斯达克证券交易所、纽约证券交易所、新加坡证券交易所等）</w:t>
      </w:r>
      <w:r>
        <w:rPr>
          <w:rFonts w:hint="eastAsia" w:ascii="宋体" w:hAnsi="宋体" w:eastAsia="仿宋_GB2312" w:cs="仿宋"/>
          <w:sz w:val="32"/>
          <w:szCs w:val="32"/>
          <w:lang w:eastAsia="zh-CN"/>
        </w:rPr>
        <w:t>。</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宋体" w:hAnsi="宋体" w:eastAsia="仿宋_GB2312" w:cs="仿宋"/>
          <w:sz w:val="32"/>
          <w:szCs w:val="32"/>
          <w:lang w:val="en-US" w:eastAsia="zh-CN"/>
        </w:rPr>
        <w:t xml:space="preserve">  </w:t>
      </w:r>
      <w:r>
        <w:rPr>
          <w:rFonts w:hint="eastAsia" w:ascii="宋体" w:hAnsi="宋体" w:eastAsia="仿宋_GB2312" w:cs="仿宋"/>
          <w:sz w:val="32"/>
          <w:szCs w:val="32"/>
        </w:rPr>
        <w:t>本办法适用于南海区内依法进行商事登记和税务登记并依法纳税的独立核算法人企业</w:t>
      </w:r>
      <w:r>
        <w:rPr>
          <w:rFonts w:hint="eastAsia" w:ascii="宋体" w:hAnsi="宋体" w:eastAsia="仿宋_GB2312" w:cs="仿宋"/>
          <w:sz w:val="32"/>
          <w:szCs w:val="32"/>
          <w:lang w:eastAsia="zh-CN"/>
        </w:rPr>
        <w:t>。</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pacing w:val="0"/>
          <w:kern w:val="2"/>
          <w:sz w:val="32"/>
          <w:szCs w:val="32"/>
          <w:lang w:val="en-US" w:eastAsia="zh-CN" w:bidi="ar-SA"/>
        </w:rPr>
      </w:pPr>
      <w:r>
        <w:rPr>
          <w:rFonts w:hint="eastAsia" w:ascii="黑体" w:hAnsi="黑体" w:eastAsia="黑体" w:cs="黑体"/>
          <w:sz w:val="32"/>
          <w:szCs w:val="32"/>
          <w:lang w:val="en-US" w:eastAsia="zh-CN"/>
        </w:rPr>
        <w:t>第四条</w:t>
      </w:r>
      <w:r>
        <w:rPr>
          <w:rFonts w:hint="eastAsia" w:ascii="宋体" w:hAnsi="宋体" w:eastAsia="仿宋_GB2312" w:cs="仿宋"/>
          <w:spacing w:val="0"/>
          <w:kern w:val="2"/>
          <w:sz w:val="32"/>
          <w:szCs w:val="32"/>
          <w:lang w:val="en-US" w:eastAsia="zh-CN" w:bidi="ar-SA"/>
        </w:rPr>
        <w:t xml:space="preserve">  </w:t>
      </w:r>
      <w:r>
        <w:rPr>
          <w:rFonts w:hint="eastAsia" w:ascii="宋体" w:hAnsi="宋体" w:eastAsia="仿宋_GB2312" w:cs="仿宋"/>
          <w:sz w:val="32"/>
          <w:szCs w:val="32"/>
          <w:highlight w:val="none"/>
        </w:rPr>
        <w:t>我区重点类上市后备企业进行改制的，因未分配利润、盈余公积金</w:t>
      </w:r>
      <w:r>
        <w:rPr>
          <w:rFonts w:hint="eastAsia" w:ascii="宋体" w:hAnsi="宋体" w:eastAsia="仿宋_GB2312" w:cs="仿宋"/>
          <w:sz w:val="32"/>
          <w:szCs w:val="32"/>
          <w:highlight w:val="none"/>
          <w:lang w:eastAsia="zh-CN"/>
        </w:rPr>
        <w:t>、</w:t>
      </w:r>
      <w:r>
        <w:rPr>
          <w:rFonts w:hint="eastAsia" w:ascii="宋体" w:hAnsi="宋体" w:eastAsia="仿宋_GB2312" w:cs="仿宋"/>
          <w:sz w:val="32"/>
          <w:szCs w:val="32"/>
          <w:highlight w:val="none"/>
          <w:lang w:val="en-US" w:eastAsia="zh-CN"/>
        </w:rPr>
        <w:t>资本公积金</w:t>
      </w:r>
      <w:r>
        <w:rPr>
          <w:rFonts w:hint="eastAsia" w:ascii="宋体" w:hAnsi="宋体" w:eastAsia="仿宋_GB2312" w:cs="仿宋"/>
          <w:sz w:val="32"/>
          <w:szCs w:val="32"/>
          <w:highlight w:val="none"/>
        </w:rPr>
        <w:t>转增股本的行为而产生的地方贡献，按地方贡献的80%给予贡献主体补助。</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highlight w:val="none"/>
          <w:lang w:eastAsia="zh-CN"/>
        </w:rPr>
      </w:pPr>
      <w:r>
        <w:rPr>
          <w:rFonts w:hint="eastAsia" w:ascii="黑体" w:hAnsi="黑体" w:eastAsia="黑体" w:cs="黑体"/>
          <w:sz w:val="32"/>
          <w:szCs w:val="32"/>
          <w:lang w:val="en-US" w:eastAsia="zh-CN"/>
        </w:rPr>
        <w:t>第五条</w:t>
      </w:r>
      <w:r>
        <w:rPr>
          <w:rFonts w:hint="eastAsia" w:ascii="宋体" w:hAnsi="宋体" w:eastAsia="仿宋_GB2312" w:cs="仿宋"/>
          <w:sz w:val="32"/>
          <w:szCs w:val="32"/>
          <w:highlight w:val="none"/>
        </w:rPr>
        <w:t xml:space="preserve"> </w:t>
      </w:r>
      <w:r>
        <w:rPr>
          <w:rFonts w:hint="eastAsia" w:ascii="宋体" w:hAnsi="宋体" w:eastAsia="仿宋_GB2312" w:cs="仿宋"/>
          <w:sz w:val="32"/>
          <w:szCs w:val="32"/>
          <w:highlight w:val="none"/>
          <w:lang w:val="en-US" w:eastAsia="zh-CN"/>
        </w:rPr>
        <w:t xml:space="preserve"> </w:t>
      </w:r>
      <w:r>
        <w:rPr>
          <w:rFonts w:hint="eastAsia" w:ascii="宋体" w:hAnsi="宋体" w:eastAsia="仿宋_GB2312" w:cs="仿宋"/>
          <w:sz w:val="32"/>
          <w:szCs w:val="32"/>
          <w:highlight w:val="none"/>
        </w:rPr>
        <w:t>企业在券商、律师事务所、会计师事务所等上市中介机构的辅导下，完成股份制改造并取得股份公司营业执照的，实收资本3000万元（含3000万元）以上及上一年净利润达800万</w:t>
      </w:r>
      <w:r>
        <w:rPr>
          <w:rFonts w:hint="eastAsia" w:ascii="宋体" w:hAnsi="宋体" w:eastAsia="仿宋_GB2312" w:cs="仿宋"/>
          <w:sz w:val="32"/>
          <w:szCs w:val="32"/>
          <w:highlight w:val="none"/>
          <w:lang w:eastAsia="zh-CN"/>
        </w:rPr>
        <w:t>元</w:t>
      </w:r>
      <w:r>
        <w:rPr>
          <w:rFonts w:hint="eastAsia" w:ascii="宋体" w:hAnsi="宋体" w:eastAsia="仿宋_GB2312" w:cs="仿宋"/>
          <w:sz w:val="32"/>
          <w:szCs w:val="32"/>
          <w:highlight w:val="none"/>
        </w:rPr>
        <w:t>以上的，给予</w:t>
      </w:r>
      <w:r>
        <w:rPr>
          <w:rFonts w:hint="eastAsia" w:ascii="宋体" w:hAnsi="宋体" w:eastAsia="仿宋_GB2312" w:cs="仿宋"/>
          <w:sz w:val="32"/>
          <w:szCs w:val="32"/>
          <w:highlight w:val="none"/>
          <w:lang w:val="en-US" w:eastAsia="zh-CN"/>
        </w:rPr>
        <w:t>200</w:t>
      </w:r>
      <w:r>
        <w:rPr>
          <w:rFonts w:hint="eastAsia" w:ascii="宋体" w:hAnsi="宋体" w:eastAsia="仿宋_GB2312" w:cs="仿宋"/>
          <w:sz w:val="32"/>
          <w:szCs w:val="32"/>
          <w:highlight w:val="none"/>
        </w:rPr>
        <w:t>万元扶持；实收资本1000万元（含1000万元）以上及上一年净利润达300万以上的，给予</w:t>
      </w:r>
      <w:r>
        <w:rPr>
          <w:rFonts w:hint="eastAsia" w:ascii="宋体" w:hAnsi="宋体" w:eastAsia="仿宋_GB2312" w:cs="仿宋"/>
          <w:sz w:val="32"/>
          <w:szCs w:val="32"/>
          <w:highlight w:val="none"/>
          <w:lang w:val="en-US" w:eastAsia="zh-CN"/>
        </w:rPr>
        <w:t>100</w:t>
      </w:r>
      <w:r>
        <w:rPr>
          <w:rFonts w:hint="eastAsia" w:ascii="宋体" w:hAnsi="宋体" w:eastAsia="仿宋_GB2312" w:cs="仿宋"/>
          <w:sz w:val="32"/>
          <w:szCs w:val="32"/>
          <w:highlight w:val="none"/>
        </w:rPr>
        <w:t>万元扶持</w:t>
      </w:r>
      <w:r>
        <w:rPr>
          <w:rFonts w:hint="eastAsia" w:ascii="宋体" w:hAnsi="宋体" w:eastAsia="仿宋_GB2312" w:cs="仿宋"/>
          <w:sz w:val="32"/>
          <w:szCs w:val="32"/>
          <w:highlight w:val="none"/>
          <w:lang w:eastAsia="zh-CN"/>
        </w:rPr>
        <w:t>。</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default" w:ascii="宋体" w:hAnsi="宋体" w:eastAsia="仿宋_GB2312" w:cs="仿宋"/>
          <w:i w:val="0"/>
          <w:iCs w:val="0"/>
          <w:sz w:val="32"/>
          <w:szCs w:val="32"/>
          <w:highlight w:val="none"/>
          <w:u w:val="none"/>
          <w:lang w:val="en-US" w:eastAsia="zh-CN"/>
        </w:rPr>
      </w:pPr>
      <w:r>
        <w:rPr>
          <w:rFonts w:hint="eastAsia" w:ascii="黑体" w:hAnsi="黑体" w:eastAsia="黑体" w:cs="黑体"/>
          <w:sz w:val="32"/>
          <w:szCs w:val="32"/>
          <w:lang w:val="en-US" w:eastAsia="zh-CN"/>
        </w:rPr>
        <w:t>第六条</w:t>
      </w:r>
      <w:r>
        <w:rPr>
          <w:rFonts w:hint="eastAsia" w:ascii="宋体" w:hAnsi="宋体" w:eastAsia="仿宋_GB2312" w:cs="仿宋"/>
          <w:i w:val="0"/>
          <w:iCs w:val="0"/>
          <w:spacing w:val="0"/>
          <w:kern w:val="2"/>
          <w:sz w:val="32"/>
          <w:szCs w:val="32"/>
          <w:highlight w:val="none"/>
          <w:u w:val="none"/>
          <w:lang w:val="en-US" w:eastAsia="zh-CN" w:bidi="ar-SA"/>
        </w:rPr>
        <w:t xml:space="preserve"> </w:t>
      </w:r>
      <w:r>
        <w:rPr>
          <w:rFonts w:hint="eastAsia" w:ascii="宋体" w:hAnsi="宋体" w:eastAsia="仿宋_GB2312" w:cs="仿宋"/>
          <w:i w:val="0"/>
          <w:iCs w:val="0"/>
          <w:sz w:val="32"/>
          <w:szCs w:val="32"/>
          <w:highlight w:val="none"/>
          <w:u w:val="none"/>
          <w:lang w:val="en-US" w:eastAsia="zh-CN"/>
        </w:rPr>
        <w:t xml:space="preserve"> </w:t>
      </w:r>
      <w:r>
        <w:rPr>
          <w:rFonts w:hint="eastAsia" w:ascii="宋体" w:hAnsi="宋体" w:eastAsia="仿宋_GB2312" w:cs="仿宋"/>
          <w:i w:val="0"/>
          <w:iCs w:val="0"/>
          <w:sz w:val="32"/>
          <w:szCs w:val="32"/>
          <w:highlight w:val="none"/>
          <w:u w:val="none"/>
        </w:rPr>
        <w:t>企业在新三板首次挂牌上市的，给予50万元奖励</w:t>
      </w:r>
      <w:r>
        <w:rPr>
          <w:rFonts w:hint="eastAsia" w:ascii="宋体" w:hAnsi="宋体" w:eastAsia="仿宋_GB2312" w:cs="仿宋"/>
          <w:i w:val="0"/>
          <w:iCs w:val="0"/>
          <w:sz w:val="32"/>
          <w:szCs w:val="32"/>
          <w:highlight w:val="none"/>
          <w:u w:val="none"/>
          <w:lang w:eastAsia="zh-CN"/>
        </w:rPr>
        <w:t>；</w:t>
      </w:r>
      <w:r>
        <w:rPr>
          <w:rFonts w:hint="eastAsia" w:ascii="宋体" w:hAnsi="宋体" w:eastAsia="仿宋_GB2312" w:cs="仿宋"/>
          <w:i w:val="0"/>
          <w:iCs w:val="0"/>
          <w:sz w:val="32"/>
          <w:szCs w:val="32"/>
          <w:highlight w:val="none"/>
          <w:u w:val="none"/>
        </w:rPr>
        <w:t>企业成功进入到新三板创新层的</w:t>
      </w:r>
      <w:r>
        <w:rPr>
          <w:rFonts w:hint="eastAsia" w:ascii="宋体" w:hAnsi="宋体" w:eastAsia="仿宋_GB2312" w:cs="仿宋"/>
          <w:i w:val="0"/>
          <w:iCs w:val="0"/>
          <w:sz w:val="32"/>
          <w:szCs w:val="32"/>
          <w:highlight w:val="none"/>
          <w:u w:val="none"/>
          <w:lang w:eastAsia="zh-CN"/>
        </w:rPr>
        <w:t>，</w:t>
      </w:r>
      <w:r>
        <w:rPr>
          <w:rFonts w:hint="eastAsia" w:ascii="宋体" w:hAnsi="宋体" w:eastAsia="仿宋_GB2312" w:cs="仿宋"/>
          <w:i w:val="0"/>
          <w:iCs w:val="0"/>
          <w:sz w:val="32"/>
          <w:szCs w:val="32"/>
          <w:highlight w:val="none"/>
          <w:u w:val="none"/>
          <w:lang w:val="en-US" w:eastAsia="zh-CN"/>
        </w:rPr>
        <w:t>给予50万元奖励。</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default" w:ascii="宋体" w:hAnsi="宋体" w:eastAsia="仿宋_GB2312" w:cs="仿宋"/>
          <w:i w:val="0"/>
          <w:iCs w:val="0"/>
          <w:sz w:val="32"/>
          <w:szCs w:val="32"/>
          <w:highlight w:val="none"/>
          <w:u w:val="none"/>
          <w:lang w:val="en-US" w:eastAsia="zh-CN"/>
        </w:rPr>
      </w:pPr>
      <w:r>
        <w:rPr>
          <w:rFonts w:hint="eastAsia" w:ascii="黑体" w:hAnsi="黑体" w:eastAsia="黑体" w:cs="黑体"/>
          <w:sz w:val="32"/>
          <w:szCs w:val="32"/>
          <w:lang w:val="en-US" w:eastAsia="zh-CN"/>
        </w:rPr>
        <w:t>第七条</w:t>
      </w:r>
      <w:r>
        <w:rPr>
          <w:rFonts w:hint="eastAsia" w:ascii="宋体" w:hAnsi="宋体" w:eastAsia="仿宋_GB2312" w:cs="黑体"/>
          <w:sz w:val="32"/>
          <w:szCs w:val="32"/>
          <w:lang w:val="en-US" w:eastAsia="zh-CN"/>
        </w:rPr>
        <w:t xml:space="preserve"> </w:t>
      </w:r>
      <w:r>
        <w:rPr>
          <w:rFonts w:hint="eastAsia" w:ascii="宋体" w:hAnsi="宋体" w:eastAsia="仿宋_GB2312" w:cs="仿宋"/>
          <w:i w:val="0"/>
          <w:iCs w:val="0"/>
          <w:spacing w:val="0"/>
          <w:kern w:val="2"/>
          <w:sz w:val="32"/>
          <w:szCs w:val="32"/>
          <w:highlight w:val="none"/>
          <w:u w:val="none"/>
          <w:lang w:val="en-US" w:eastAsia="zh-CN" w:bidi="ar-SA"/>
        </w:rPr>
        <w:t xml:space="preserve"> </w:t>
      </w:r>
      <w:r>
        <w:rPr>
          <w:rFonts w:hint="eastAsia" w:ascii="宋体" w:hAnsi="宋体" w:eastAsia="仿宋_GB2312" w:cs="仿宋"/>
          <w:i w:val="0"/>
          <w:iCs w:val="0"/>
          <w:sz w:val="32"/>
          <w:szCs w:val="32"/>
          <w:highlight w:val="none"/>
          <w:u w:val="none"/>
        </w:rPr>
        <w:t>企业向广东证监局申请辅导备案并取得受理回执的，</w:t>
      </w:r>
      <w:r>
        <w:rPr>
          <w:rFonts w:hint="eastAsia" w:ascii="宋体" w:hAnsi="宋体" w:eastAsia="仿宋_GB2312" w:cs="仿宋"/>
          <w:i w:val="0"/>
          <w:iCs w:val="0"/>
          <w:sz w:val="32"/>
          <w:szCs w:val="32"/>
          <w:highlight w:val="none"/>
          <w:u w:val="none"/>
          <w:lang w:eastAsia="zh-CN"/>
        </w:rPr>
        <w:t>奖励</w:t>
      </w:r>
      <w:r>
        <w:rPr>
          <w:rFonts w:hint="eastAsia" w:ascii="宋体" w:hAnsi="宋体" w:eastAsia="仿宋_GB2312" w:cs="仿宋"/>
          <w:i w:val="0"/>
          <w:iCs w:val="0"/>
          <w:sz w:val="32"/>
          <w:szCs w:val="32"/>
          <w:highlight w:val="none"/>
          <w:u w:val="none"/>
          <w:lang w:val="en-US" w:eastAsia="zh-CN"/>
        </w:rPr>
        <w:t>200万元（未获得股份制改造奖励的企业奖励400万元）。新三板创新层企业</w:t>
      </w:r>
      <w:r>
        <w:rPr>
          <w:rFonts w:hint="eastAsia" w:ascii="宋体" w:hAnsi="宋体" w:eastAsia="仿宋_GB2312" w:cs="仿宋"/>
          <w:i w:val="0"/>
          <w:iCs w:val="0"/>
          <w:sz w:val="32"/>
          <w:szCs w:val="32"/>
          <w:highlight w:val="none"/>
          <w:u w:val="none"/>
        </w:rPr>
        <w:t>申请辅导备案并取得受理回执的</w:t>
      </w:r>
      <w:r>
        <w:rPr>
          <w:rFonts w:hint="eastAsia" w:ascii="宋体" w:hAnsi="宋体" w:eastAsia="仿宋_GB2312" w:cs="仿宋"/>
          <w:i w:val="0"/>
          <w:iCs w:val="0"/>
          <w:sz w:val="32"/>
          <w:szCs w:val="32"/>
          <w:highlight w:val="none"/>
          <w:u w:val="none"/>
          <w:lang w:val="en-US" w:eastAsia="zh-CN"/>
        </w:rPr>
        <w:t>奖励100万元（未获得股份制改造奖励的企业奖励300万元）。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highlight w:val="none"/>
          <w:lang w:val="en-US" w:eastAsia="zh-CN"/>
        </w:rPr>
      </w:pPr>
      <w:r>
        <w:rPr>
          <w:rFonts w:hint="eastAsia" w:ascii="黑体" w:hAnsi="黑体" w:eastAsia="黑体" w:cs="黑体"/>
          <w:sz w:val="32"/>
          <w:szCs w:val="32"/>
          <w:lang w:val="en-US" w:eastAsia="zh-CN"/>
        </w:rPr>
        <w:t>第八条</w:t>
      </w:r>
      <w:r>
        <w:rPr>
          <w:rFonts w:hint="eastAsia" w:ascii="宋体" w:hAnsi="宋体" w:eastAsia="仿宋_GB2312" w:cs="仿宋"/>
          <w:spacing w:val="0"/>
          <w:kern w:val="2"/>
          <w:sz w:val="32"/>
          <w:szCs w:val="32"/>
          <w:lang w:val="en-US" w:eastAsia="zh-CN" w:bidi="ar-SA"/>
        </w:rPr>
        <w:t xml:space="preserve">  </w:t>
      </w:r>
      <w:r>
        <w:rPr>
          <w:rFonts w:hint="eastAsia" w:ascii="宋体" w:hAnsi="宋体" w:eastAsia="仿宋_GB2312" w:cs="仿宋_GB2312"/>
          <w:spacing w:val="0"/>
          <w:kern w:val="2"/>
          <w:sz w:val="32"/>
          <w:szCs w:val="32"/>
          <w:lang w:val="en-US" w:eastAsia="zh-CN" w:bidi="ar-SA"/>
        </w:rPr>
        <w:t>企业在</w:t>
      </w:r>
      <w:r>
        <w:rPr>
          <w:rFonts w:hint="eastAsia" w:ascii="宋体" w:hAnsi="宋体" w:eastAsia="仿宋_GB2312" w:cs="仿宋"/>
          <w:sz w:val="32"/>
          <w:szCs w:val="32"/>
          <w:highlight w:val="none"/>
          <w:lang w:val="en-US" w:eastAsia="zh-CN"/>
        </w:rPr>
        <w:t>中国证监会或其指定的股票发行审核部门正式受理上市申报材料后，给予企业扶持资金50万元。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highlight w:val="none"/>
          <w:lang w:val="en-US" w:eastAsia="zh-CN"/>
        </w:rPr>
      </w:pPr>
      <w:r>
        <w:rPr>
          <w:rFonts w:hint="eastAsia" w:ascii="黑体" w:hAnsi="黑体" w:eastAsia="黑体" w:cs="黑体"/>
          <w:sz w:val="32"/>
          <w:szCs w:val="32"/>
          <w:lang w:val="en-US" w:eastAsia="zh-CN"/>
        </w:rPr>
        <w:t>第九条</w:t>
      </w:r>
      <w:r>
        <w:rPr>
          <w:rFonts w:hint="eastAsia" w:ascii="宋体" w:hAnsi="宋体" w:eastAsia="仿宋_GB2312" w:cs="仿宋"/>
          <w:spacing w:val="0"/>
          <w:kern w:val="2"/>
          <w:sz w:val="32"/>
          <w:szCs w:val="32"/>
          <w:lang w:val="en-US" w:eastAsia="zh-CN" w:bidi="ar-SA"/>
        </w:rPr>
        <w:t xml:space="preserve"> </w:t>
      </w:r>
      <w:r>
        <w:rPr>
          <w:rFonts w:hint="eastAsia" w:ascii="宋体" w:hAnsi="宋体" w:eastAsia="仿宋_GB2312" w:cs="仿宋"/>
          <w:sz w:val="32"/>
          <w:szCs w:val="32"/>
          <w:highlight w:val="none"/>
          <w:lang w:val="en-US" w:eastAsia="zh-CN"/>
        </w:rPr>
        <w:t xml:space="preserve"> 企业在上海证券交易所、深圳证券交易所、北京证券交易所成功上市后，给予企业扶持资金50万元。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rPr>
      </w:pPr>
      <w:r>
        <w:rPr>
          <w:rFonts w:hint="eastAsia" w:ascii="黑体" w:hAnsi="黑体" w:eastAsia="黑体" w:cs="黑体"/>
          <w:sz w:val="32"/>
          <w:szCs w:val="32"/>
          <w:lang w:val="en-US" w:eastAsia="zh-CN"/>
        </w:rPr>
        <w:t>第十条</w:t>
      </w:r>
      <w:r>
        <w:rPr>
          <w:rFonts w:hint="eastAsia" w:ascii="宋体" w:hAnsi="宋体" w:eastAsia="仿宋_GB2312" w:cs="黑体"/>
          <w:sz w:val="32"/>
          <w:szCs w:val="32"/>
          <w:lang w:val="en-US" w:eastAsia="zh-CN"/>
        </w:rPr>
        <w:t xml:space="preserve"> </w:t>
      </w:r>
      <w:r>
        <w:rPr>
          <w:rFonts w:hint="eastAsia" w:ascii="宋体" w:hAnsi="宋体" w:eastAsia="仿宋_GB2312" w:cs="仿宋"/>
          <w:sz w:val="32"/>
          <w:szCs w:val="32"/>
          <w:highlight w:val="none"/>
          <w:lang w:val="en-US" w:eastAsia="zh-CN"/>
        </w:rPr>
        <w:t xml:space="preserve"> </w:t>
      </w:r>
      <w:r>
        <w:rPr>
          <w:rFonts w:hint="eastAsia" w:ascii="宋体" w:hAnsi="宋体" w:eastAsia="仿宋_GB2312" w:cs="仿宋"/>
          <w:sz w:val="32"/>
          <w:szCs w:val="32"/>
        </w:rPr>
        <w:t>企业</w:t>
      </w:r>
      <w:r>
        <w:rPr>
          <w:rFonts w:hint="eastAsia" w:ascii="宋体" w:hAnsi="宋体" w:eastAsia="仿宋_GB2312" w:cs="仿宋"/>
          <w:sz w:val="32"/>
          <w:szCs w:val="32"/>
          <w:lang w:val="en-US" w:eastAsia="zh-CN"/>
        </w:rPr>
        <w:t>在</w:t>
      </w:r>
      <w:r>
        <w:rPr>
          <w:rFonts w:hint="eastAsia" w:ascii="宋体" w:hAnsi="宋体" w:eastAsia="仿宋_GB2312" w:cs="仿宋"/>
          <w:sz w:val="32"/>
          <w:szCs w:val="32"/>
          <w:highlight w:val="none"/>
          <w:lang w:val="en-US" w:eastAsia="zh-CN"/>
        </w:rPr>
        <w:t>上海证券交易所、深圳证券交易所、北京证券交易所成功</w:t>
      </w:r>
      <w:r>
        <w:rPr>
          <w:rFonts w:hint="eastAsia" w:ascii="宋体" w:hAnsi="宋体" w:eastAsia="仿宋_GB2312" w:cs="仿宋"/>
          <w:sz w:val="32"/>
          <w:szCs w:val="32"/>
        </w:rPr>
        <w:t>上市后，按首发募集资金金额分五个档次给予企业奖励：</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rPr>
      </w:pPr>
      <w:r>
        <w:rPr>
          <w:rFonts w:hint="eastAsia" w:ascii="楷体_GB2312" w:hAnsi="楷体_GB2312" w:eastAsia="楷体_GB2312" w:cs="楷体_GB2312"/>
          <w:sz w:val="32"/>
          <w:szCs w:val="32"/>
          <w:lang w:eastAsia="zh-CN"/>
        </w:rPr>
        <w:t>（一）</w:t>
      </w:r>
      <w:r>
        <w:rPr>
          <w:rFonts w:hint="eastAsia" w:ascii="宋体" w:hAnsi="宋体" w:eastAsia="仿宋_GB2312" w:cs="仿宋"/>
          <w:sz w:val="32"/>
          <w:szCs w:val="32"/>
        </w:rPr>
        <w:t>募</w:t>
      </w:r>
      <w:r>
        <w:rPr>
          <w:rFonts w:ascii="宋体" w:hAnsi="宋体" w:eastAsia="仿宋_GB2312" w:cs="仿宋"/>
          <w:sz w:val="32"/>
          <w:szCs w:val="32"/>
        </w:rPr>
        <w:t>集资金2亿元以下的，奖励100万元；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rPr>
      </w:pPr>
      <w:r>
        <w:rPr>
          <w:rFonts w:hint="eastAsia" w:ascii="楷体_GB2312" w:hAnsi="楷体_GB2312" w:eastAsia="楷体_GB2312" w:cs="楷体_GB2312"/>
          <w:sz w:val="32"/>
          <w:szCs w:val="32"/>
          <w:lang w:eastAsia="zh-CN"/>
        </w:rPr>
        <w:t>（二）</w:t>
      </w:r>
      <w:r>
        <w:rPr>
          <w:rFonts w:ascii="宋体" w:hAnsi="宋体" w:eastAsia="仿宋_GB2312" w:cs="仿宋"/>
          <w:sz w:val="32"/>
          <w:szCs w:val="32"/>
        </w:rPr>
        <w:t>募集资金2</w:t>
      </w:r>
      <w:r>
        <w:rPr>
          <w:rFonts w:hint="eastAsia" w:ascii="宋体" w:hAnsi="宋体" w:eastAsia="仿宋_GB2312" w:cs="仿宋"/>
          <w:sz w:val="32"/>
          <w:szCs w:val="32"/>
        </w:rPr>
        <w:t>―</w:t>
      </w:r>
      <w:r>
        <w:rPr>
          <w:rFonts w:ascii="宋体" w:hAnsi="宋体" w:eastAsia="仿宋_GB2312" w:cs="仿宋"/>
          <w:sz w:val="32"/>
          <w:szCs w:val="32"/>
        </w:rPr>
        <w:t>5亿元之间的（含2亿元），奖励200万元；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rPr>
      </w:pPr>
      <w:r>
        <w:rPr>
          <w:rFonts w:hint="eastAsia" w:ascii="楷体_GB2312" w:hAnsi="楷体_GB2312" w:eastAsia="楷体_GB2312" w:cs="楷体_GB2312"/>
          <w:sz w:val="32"/>
          <w:szCs w:val="32"/>
          <w:lang w:eastAsia="zh-CN"/>
        </w:rPr>
        <w:t>（三）</w:t>
      </w:r>
      <w:r>
        <w:rPr>
          <w:rFonts w:ascii="宋体" w:hAnsi="宋体" w:eastAsia="仿宋_GB2312" w:cs="仿宋"/>
          <w:sz w:val="32"/>
          <w:szCs w:val="32"/>
        </w:rPr>
        <w:t>募集资金5</w:t>
      </w:r>
      <w:r>
        <w:rPr>
          <w:rFonts w:hint="eastAsia" w:ascii="宋体" w:hAnsi="宋体" w:eastAsia="仿宋_GB2312" w:cs="仿宋"/>
          <w:sz w:val="32"/>
          <w:szCs w:val="32"/>
        </w:rPr>
        <w:t>―</w:t>
      </w:r>
      <w:r>
        <w:rPr>
          <w:rFonts w:ascii="宋体" w:hAnsi="宋体" w:eastAsia="仿宋_GB2312" w:cs="仿宋"/>
          <w:sz w:val="32"/>
          <w:szCs w:val="32"/>
        </w:rPr>
        <w:t>10亿元之间的（含5亿元），奖励300万元；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rPr>
      </w:pPr>
      <w:r>
        <w:rPr>
          <w:rFonts w:hint="eastAsia" w:ascii="楷体_GB2312" w:hAnsi="楷体_GB2312" w:eastAsia="楷体_GB2312" w:cs="楷体_GB2312"/>
          <w:sz w:val="32"/>
          <w:szCs w:val="32"/>
          <w:lang w:eastAsia="zh-CN"/>
        </w:rPr>
        <w:t>（四）</w:t>
      </w:r>
      <w:r>
        <w:rPr>
          <w:rFonts w:ascii="宋体" w:hAnsi="宋体" w:eastAsia="仿宋_GB2312" w:cs="仿宋"/>
          <w:sz w:val="32"/>
          <w:szCs w:val="32"/>
        </w:rPr>
        <w:t>募集资金10</w:t>
      </w:r>
      <w:r>
        <w:rPr>
          <w:rFonts w:hint="eastAsia" w:ascii="宋体" w:hAnsi="宋体" w:eastAsia="仿宋_GB2312" w:cs="仿宋"/>
          <w:sz w:val="32"/>
          <w:szCs w:val="32"/>
        </w:rPr>
        <w:t>―</w:t>
      </w:r>
      <w:r>
        <w:rPr>
          <w:rFonts w:ascii="宋体" w:hAnsi="宋体" w:eastAsia="仿宋_GB2312" w:cs="仿宋"/>
          <w:sz w:val="32"/>
          <w:szCs w:val="32"/>
        </w:rPr>
        <w:t>20亿元之间的（含10亿元），奖励400万元；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jc w:val="both"/>
        <w:textAlignment w:val="auto"/>
        <w:outlineLvl w:val="9"/>
        <w:rPr>
          <w:rFonts w:hint="eastAsia" w:ascii="宋体" w:hAnsi="宋体" w:eastAsia="仿宋_GB2312" w:cs="仿宋"/>
          <w:sz w:val="32"/>
          <w:szCs w:val="32"/>
        </w:rPr>
      </w:pPr>
      <w:r>
        <w:rPr>
          <w:rFonts w:hint="eastAsia" w:ascii="楷体_GB2312" w:hAnsi="楷体_GB2312" w:eastAsia="楷体_GB2312" w:cs="楷体_GB2312"/>
          <w:sz w:val="32"/>
          <w:szCs w:val="32"/>
          <w:lang w:eastAsia="zh-CN"/>
        </w:rPr>
        <w:t>（五）</w:t>
      </w:r>
      <w:r>
        <w:rPr>
          <w:rFonts w:hint="eastAsia" w:ascii="宋体" w:hAnsi="宋体" w:eastAsia="仿宋_GB2312" w:cs="仿宋"/>
          <w:sz w:val="32"/>
          <w:szCs w:val="32"/>
        </w:rPr>
        <w:t>募集资金20亿元以上的（含20亿元），奖励</w:t>
      </w:r>
      <w:r>
        <w:rPr>
          <w:rFonts w:hint="eastAsia" w:ascii="宋体" w:hAnsi="宋体" w:eastAsia="仿宋_GB2312" w:cs="仿宋"/>
          <w:sz w:val="32"/>
          <w:szCs w:val="32"/>
          <w:lang w:val="en-US" w:eastAsia="zh-CN"/>
        </w:rPr>
        <w:t>500</w:t>
      </w:r>
      <w:r>
        <w:rPr>
          <w:rFonts w:hint="eastAsia" w:ascii="宋体" w:hAnsi="宋体" w:eastAsia="仿宋_GB2312" w:cs="仿宋"/>
          <w:sz w:val="32"/>
          <w:szCs w:val="32"/>
        </w:rPr>
        <w:t>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highlight w:val="none"/>
        </w:rPr>
      </w:pPr>
      <w:r>
        <w:rPr>
          <w:rFonts w:hint="eastAsia" w:ascii="黑体" w:hAnsi="黑体" w:eastAsia="黑体" w:cs="黑体"/>
          <w:sz w:val="32"/>
          <w:szCs w:val="32"/>
          <w:lang w:val="en-US" w:eastAsia="zh-CN"/>
        </w:rPr>
        <w:t>第十一条</w:t>
      </w:r>
      <w:r>
        <w:rPr>
          <w:rFonts w:hint="eastAsia" w:ascii="宋体" w:hAnsi="宋体" w:eastAsia="仿宋_GB2312" w:cs="仿宋"/>
          <w:spacing w:val="0"/>
          <w:kern w:val="2"/>
          <w:sz w:val="32"/>
          <w:szCs w:val="32"/>
          <w:lang w:val="en-US" w:eastAsia="zh-CN" w:bidi="ar-SA"/>
        </w:rPr>
        <w:t xml:space="preserve"> </w:t>
      </w:r>
      <w:r>
        <w:rPr>
          <w:rFonts w:hint="eastAsia" w:ascii="宋体" w:hAnsi="宋体" w:eastAsia="仿宋_GB2312" w:cs="仿宋"/>
          <w:sz w:val="32"/>
          <w:szCs w:val="32"/>
          <w:highlight w:val="none"/>
          <w:lang w:val="en-US" w:eastAsia="zh-CN"/>
        </w:rPr>
        <w:t xml:space="preserve"> </w:t>
      </w:r>
      <w:r>
        <w:rPr>
          <w:rFonts w:hint="eastAsia" w:ascii="宋体" w:hAnsi="宋体" w:eastAsia="仿宋_GB2312" w:cs="仿宋"/>
          <w:sz w:val="32"/>
          <w:szCs w:val="32"/>
          <w:highlight w:val="none"/>
        </w:rPr>
        <w:t>企业在新三板挂牌后按累计融资金额分阶段给予企业奖励：</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highlight w:val="none"/>
        </w:rPr>
      </w:pPr>
      <w:r>
        <w:rPr>
          <w:rFonts w:hint="eastAsia" w:ascii="楷体_GB2312" w:hAnsi="楷体_GB2312" w:eastAsia="楷体_GB2312" w:cs="楷体_GB2312"/>
          <w:sz w:val="32"/>
          <w:szCs w:val="32"/>
          <w:highlight w:val="none"/>
        </w:rPr>
        <w:t>（一）</w:t>
      </w:r>
      <w:r>
        <w:rPr>
          <w:rFonts w:hint="eastAsia" w:ascii="宋体" w:hAnsi="宋体" w:eastAsia="仿宋_GB2312" w:cs="仿宋"/>
          <w:sz w:val="32"/>
          <w:szCs w:val="32"/>
          <w:highlight w:val="none"/>
        </w:rPr>
        <w:t>累计融资资金</w:t>
      </w:r>
      <w:r>
        <w:rPr>
          <w:rFonts w:ascii="宋体" w:hAnsi="宋体" w:eastAsia="仿宋_GB2312" w:cs="仿宋"/>
          <w:sz w:val="32"/>
          <w:szCs w:val="32"/>
          <w:highlight w:val="none"/>
        </w:rPr>
        <w:t>1000万元以下，奖励50万元；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highlight w:val="none"/>
        </w:rPr>
      </w:pPr>
      <w:r>
        <w:rPr>
          <w:rFonts w:hint="eastAsia" w:ascii="楷体_GB2312" w:hAnsi="楷体_GB2312" w:eastAsia="楷体_GB2312" w:cs="楷体_GB2312"/>
          <w:sz w:val="32"/>
          <w:szCs w:val="32"/>
          <w:highlight w:val="none"/>
        </w:rPr>
        <w:t>（二）</w:t>
      </w:r>
      <w:r>
        <w:rPr>
          <w:rFonts w:hint="eastAsia" w:ascii="宋体" w:hAnsi="宋体" w:eastAsia="仿宋_GB2312" w:cs="仿宋"/>
          <w:sz w:val="32"/>
          <w:szCs w:val="32"/>
          <w:highlight w:val="none"/>
        </w:rPr>
        <w:t>累计融资资金达到</w:t>
      </w:r>
      <w:r>
        <w:rPr>
          <w:rFonts w:ascii="宋体" w:hAnsi="宋体" w:eastAsia="仿宋_GB2312" w:cs="仿宋"/>
          <w:sz w:val="32"/>
          <w:szCs w:val="32"/>
          <w:highlight w:val="none"/>
        </w:rPr>
        <w:t>1000</w:t>
      </w:r>
      <w:r>
        <w:rPr>
          <w:rFonts w:hint="eastAsia" w:ascii="宋体" w:hAnsi="宋体" w:eastAsia="仿宋_GB2312" w:cs="仿宋"/>
          <w:sz w:val="32"/>
          <w:szCs w:val="32"/>
          <w:highlight w:val="none"/>
        </w:rPr>
        <w:t>―</w:t>
      </w:r>
      <w:r>
        <w:rPr>
          <w:rFonts w:ascii="宋体" w:hAnsi="宋体" w:eastAsia="仿宋_GB2312" w:cs="仿宋"/>
          <w:sz w:val="32"/>
          <w:szCs w:val="32"/>
          <w:highlight w:val="none"/>
        </w:rPr>
        <w:t>5000万元之间（含1000万元），奖励100万元；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highlight w:val="none"/>
        </w:rPr>
      </w:pPr>
      <w:r>
        <w:rPr>
          <w:rFonts w:hint="eastAsia" w:ascii="楷体_GB2312" w:hAnsi="楷体_GB2312" w:eastAsia="楷体_GB2312" w:cs="楷体_GB2312"/>
          <w:sz w:val="32"/>
          <w:szCs w:val="32"/>
          <w:highlight w:val="none"/>
        </w:rPr>
        <w:t>（三）</w:t>
      </w:r>
      <w:r>
        <w:rPr>
          <w:rFonts w:hint="eastAsia" w:ascii="宋体" w:hAnsi="宋体" w:eastAsia="仿宋_GB2312" w:cs="仿宋"/>
          <w:sz w:val="32"/>
          <w:szCs w:val="32"/>
          <w:highlight w:val="none"/>
        </w:rPr>
        <w:t>累计融资资金达到</w:t>
      </w:r>
      <w:r>
        <w:rPr>
          <w:rFonts w:ascii="宋体" w:hAnsi="宋体" w:eastAsia="仿宋_GB2312" w:cs="仿宋"/>
          <w:sz w:val="32"/>
          <w:szCs w:val="32"/>
          <w:highlight w:val="none"/>
        </w:rPr>
        <w:t>5000万元</w:t>
      </w:r>
      <w:r>
        <w:rPr>
          <w:rFonts w:hint="eastAsia" w:ascii="宋体" w:hAnsi="宋体" w:eastAsia="仿宋_GB2312" w:cs="仿宋"/>
          <w:sz w:val="32"/>
          <w:szCs w:val="32"/>
          <w:highlight w:val="none"/>
        </w:rPr>
        <w:t>―</w:t>
      </w:r>
      <w:r>
        <w:rPr>
          <w:rFonts w:ascii="宋体" w:hAnsi="宋体" w:eastAsia="仿宋_GB2312" w:cs="仿宋"/>
          <w:sz w:val="32"/>
          <w:szCs w:val="32"/>
          <w:highlight w:val="none"/>
        </w:rPr>
        <w:t>1亿元</w:t>
      </w:r>
      <w:r>
        <w:rPr>
          <w:rFonts w:hint="eastAsia" w:ascii="宋体" w:hAnsi="宋体" w:eastAsia="仿宋_GB2312" w:cs="仿宋"/>
          <w:sz w:val="32"/>
          <w:szCs w:val="32"/>
          <w:highlight w:val="none"/>
        </w:rPr>
        <w:t>之间</w:t>
      </w:r>
      <w:r>
        <w:rPr>
          <w:rFonts w:ascii="宋体" w:hAnsi="宋体" w:eastAsia="仿宋_GB2312" w:cs="仿宋"/>
          <w:sz w:val="32"/>
          <w:szCs w:val="32"/>
          <w:highlight w:val="none"/>
        </w:rPr>
        <w:t>（含5000万元），奖励200万元；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highlight w:val="none"/>
        </w:rPr>
      </w:pPr>
      <w:r>
        <w:rPr>
          <w:rFonts w:hint="eastAsia" w:ascii="楷体_GB2312" w:hAnsi="楷体_GB2312" w:eastAsia="楷体_GB2312" w:cs="楷体_GB2312"/>
          <w:sz w:val="32"/>
          <w:szCs w:val="32"/>
          <w:highlight w:val="none"/>
        </w:rPr>
        <w:t>（四）</w:t>
      </w:r>
      <w:r>
        <w:rPr>
          <w:rFonts w:hint="eastAsia" w:ascii="宋体" w:hAnsi="宋体" w:eastAsia="仿宋_GB2312" w:cs="仿宋"/>
          <w:sz w:val="32"/>
          <w:szCs w:val="32"/>
          <w:highlight w:val="none"/>
        </w:rPr>
        <w:t>累计融资资金达到</w:t>
      </w:r>
      <w:r>
        <w:rPr>
          <w:rFonts w:ascii="宋体" w:hAnsi="宋体" w:eastAsia="仿宋_GB2312" w:cs="仿宋"/>
          <w:sz w:val="32"/>
          <w:szCs w:val="32"/>
          <w:highlight w:val="none"/>
        </w:rPr>
        <w:t>1亿元（含1亿元）以上，奖励250万元。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highlight w:val="none"/>
        </w:rPr>
      </w:pPr>
      <w:r>
        <w:rPr>
          <w:rFonts w:hint="eastAsia" w:ascii="黑体" w:hAnsi="黑体" w:eastAsia="黑体" w:cs="黑体"/>
          <w:sz w:val="32"/>
          <w:szCs w:val="32"/>
          <w:lang w:val="en-US" w:eastAsia="zh-CN"/>
        </w:rPr>
        <w:t>第十二条</w:t>
      </w:r>
      <w:r>
        <w:rPr>
          <w:rFonts w:hint="eastAsia" w:ascii="宋体" w:hAnsi="宋体" w:eastAsia="仿宋_GB2312" w:cs="仿宋"/>
          <w:sz w:val="32"/>
          <w:szCs w:val="32"/>
          <w:highlight w:val="none"/>
        </w:rPr>
        <w:t xml:space="preserve"> </w:t>
      </w:r>
      <w:r>
        <w:rPr>
          <w:rFonts w:hint="eastAsia" w:ascii="宋体" w:hAnsi="宋体" w:eastAsia="仿宋_GB2312" w:cs="仿宋"/>
          <w:sz w:val="32"/>
          <w:szCs w:val="32"/>
          <w:highlight w:val="none"/>
          <w:lang w:val="en-US" w:eastAsia="zh-CN"/>
        </w:rPr>
        <w:t xml:space="preserve"> </w:t>
      </w:r>
      <w:r>
        <w:rPr>
          <w:rFonts w:hint="eastAsia" w:ascii="宋体" w:hAnsi="宋体" w:eastAsia="仿宋_GB2312" w:cs="仿宋"/>
          <w:sz w:val="32"/>
          <w:szCs w:val="32"/>
          <w:highlight w:val="none"/>
        </w:rPr>
        <w:t>企业在广东股权交易中心首次成功挂牌，上一年度营业收入达</w:t>
      </w:r>
      <w:r>
        <w:rPr>
          <w:rFonts w:hint="eastAsia" w:ascii="宋体" w:hAnsi="宋体" w:eastAsia="仿宋_GB2312" w:cs="仿宋"/>
          <w:sz w:val="32"/>
          <w:szCs w:val="32"/>
          <w:highlight w:val="none"/>
          <w:lang w:val="en-US" w:eastAsia="zh-CN"/>
        </w:rPr>
        <w:t>2</w:t>
      </w:r>
      <w:r>
        <w:rPr>
          <w:rFonts w:hint="eastAsia" w:ascii="宋体" w:hAnsi="宋体" w:eastAsia="仿宋_GB2312" w:cs="仿宋"/>
          <w:sz w:val="32"/>
          <w:szCs w:val="32"/>
          <w:highlight w:val="none"/>
        </w:rPr>
        <w:t>000万元（含）以上或净利润达</w:t>
      </w:r>
      <w:r>
        <w:rPr>
          <w:rFonts w:hint="eastAsia" w:ascii="宋体" w:hAnsi="宋体" w:eastAsia="仿宋_GB2312" w:cs="仿宋"/>
          <w:sz w:val="32"/>
          <w:szCs w:val="32"/>
          <w:highlight w:val="none"/>
          <w:lang w:val="en-US" w:eastAsia="zh-CN"/>
        </w:rPr>
        <w:t>2</w:t>
      </w:r>
      <w:r>
        <w:rPr>
          <w:rFonts w:hint="eastAsia" w:ascii="宋体" w:hAnsi="宋体" w:eastAsia="仿宋_GB2312" w:cs="仿宋"/>
          <w:sz w:val="32"/>
          <w:szCs w:val="32"/>
          <w:highlight w:val="none"/>
        </w:rPr>
        <w:t>00万元（含）以上，且符合以下条件之一的，给予25万元挂牌奖励。符合多项的，不重复奖励：</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highlight w:val="none"/>
        </w:rPr>
      </w:pPr>
      <w:r>
        <w:rPr>
          <w:rFonts w:hint="eastAsia" w:ascii="楷体_GB2312" w:hAnsi="楷体_GB2312" w:eastAsia="楷体_GB2312" w:cs="楷体_GB2312"/>
          <w:sz w:val="32"/>
          <w:szCs w:val="32"/>
          <w:highlight w:val="none"/>
        </w:rPr>
        <w:t>（一）</w:t>
      </w:r>
      <w:r>
        <w:rPr>
          <w:rFonts w:hint="eastAsia" w:ascii="宋体" w:hAnsi="宋体" w:eastAsia="仿宋_GB2312" w:cs="仿宋"/>
          <w:sz w:val="32"/>
          <w:szCs w:val="32"/>
          <w:highlight w:val="none"/>
        </w:rPr>
        <w:t>企业经过会计师事务所、律师事务所等专业机构辅导，完成股份制改造，并经广东股权交易中心审核成功在该中心挂牌的。</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highlight w:val="none"/>
        </w:rPr>
      </w:pPr>
      <w:r>
        <w:rPr>
          <w:rFonts w:hint="eastAsia" w:ascii="楷体_GB2312" w:hAnsi="楷体_GB2312" w:eastAsia="楷体_GB2312" w:cs="楷体_GB2312"/>
          <w:sz w:val="32"/>
          <w:szCs w:val="32"/>
          <w:highlight w:val="none"/>
        </w:rPr>
        <w:t>（二）</w:t>
      </w:r>
      <w:r>
        <w:rPr>
          <w:rFonts w:hint="eastAsia" w:ascii="宋体" w:hAnsi="宋体" w:eastAsia="仿宋_GB2312" w:cs="仿宋"/>
          <w:sz w:val="32"/>
          <w:szCs w:val="32"/>
          <w:highlight w:val="none"/>
        </w:rPr>
        <w:t>未完成股份制改造但进行了有效交易，实现融资的企业。</w:t>
      </w:r>
      <w:r>
        <w:rPr>
          <w:rFonts w:hint="eastAsia" w:ascii="宋体" w:hAnsi="宋体" w:eastAsia="仿宋_GB2312" w:cs="仿宋"/>
          <w:sz w:val="32"/>
          <w:szCs w:val="32"/>
          <w:highlight w:val="none"/>
          <w:lang w:eastAsia="zh-CN"/>
        </w:rPr>
        <w:t>（</w:t>
      </w:r>
      <w:r>
        <w:rPr>
          <w:rFonts w:ascii="宋体" w:hAnsi="宋体" w:eastAsia="仿宋_GB2312" w:cs="仿宋"/>
          <w:sz w:val="32"/>
          <w:szCs w:val="32"/>
        </w:rPr>
        <w:t>“融资”是指以股份转让、增资扩股、股权质押以及其他方式完成的融资</w:t>
      </w:r>
      <w:r>
        <w:rPr>
          <w:rFonts w:hint="eastAsia" w:ascii="宋体" w:hAnsi="宋体" w:eastAsia="仿宋_GB2312" w:cs="仿宋"/>
          <w:sz w:val="32"/>
          <w:szCs w:val="32"/>
          <w:lang w:eastAsia="zh-CN"/>
        </w:rPr>
        <w:t>，</w:t>
      </w:r>
      <w:r>
        <w:rPr>
          <w:rFonts w:hint="eastAsia" w:ascii="宋体" w:hAnsi="宋体" w:eastAsia="仿宋_GB2312" w:cs="仿宋"/>
          <w:sz w:val="32"/>
          <w:szCs w:val="32"/>
          <w:lang w:val="en-US" w:eastAsia="zh-CN"/>
        </w:rPr>
        <w:t>且累计融资金额达500万元以上</w:t>
      </w:r>
      <w:r>
        <w:rPr>
          <w:rFonts w:hint="eastAsia" w:ascii="宋体" w:hAnsi="宋体" w:eastAsia="仿宋_GB2312" w:cs="仿宋"/>
          <w:sz w:val="32"/>
          <w:szCs w:val="32"/>
          <w:highlight w:val="none"/>
          <w:lang w:eastAsia="zh-CN"/>
        </w:rPr>
        <w:t>）。</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highlight w:val="none"/>
        </w:rPr>
      </w:pPr>
      <w:r>
        <w:rPr>
          <w:rFonts w:hint="eastAsia" w:ascii="黑体" w:hAnsi="黑体" w:eastAsia="黑体" w:cs="黑体"/>
          <w:sz w:val="32"/>
          <w:szCs w:val="32"/>
          <w:lang w:val="en-US" w:eastAsia="zh-CN"/>
        </w:rPr>
        <w:t>第十三条</w:t>
      </w:r>
      <w:r>
        <w:rPr>
          <w:rFonts w:hint="eastAsia" w:ascii="宋体" w:hAnsi="宋体" w:eastAsia="仿宋_GB2312" w:cs="仿宋"/>
          <w:b/>
          <w:bCs/>
          <w:sz w:val="32"/>
          <w:szCs w:val="32"/>
          <w:highlight w:val="none"/>
          <w:lang w:val="en-US" w:eastAsia="zh-CN"/>
        </w:rPr>
        <w:t xml:space="preserve">  </w:t>
      </w:r>
      <w:r>
        <w:rPr>
          <w:rFonts w:ascii="宋体" w:hAnsi="宋体" w:eastAsia="仿宋_GB2312" w:cs="仿宋"/>
          <w:sz w:val="32"/>
          <w:szCs w:val="32"/>
          <w:highlight w:val="none"/>
        </w:rPr>
        <w:t>企业在</w:t>
      </w:r>
      <w:r>
        <w:rPr>
          <w:rFonts w:hint="eastAsia" w:ascii="宋体" w:hAnsi="宋体" w:eastAsia="仿宋_GB2312" w:cs="仿宋"/>
          <w:sz w:val="32"/>
          <w:szCs w:val="32"/>
          <w:highlight w:val="none"/>
        </w:rPr>
        <w:t>广东股权交易中心</w:t>
      </w:r>
      <w:r>
        <w:rPr>
          <w:rFonts w:ascii="宋体" w:hAnsi="宋体" w:eastAsia="仿宋_GB2312" w:cs="仿宋"/>
          <w:sz w:val="32"/>
          <w:szCs w:val="32"/>
          <w:highlight w:val="none"/>
        </w:rPr>
        <w:t>挂牌后按累计融资金额分阶段另外给予企业奖励：</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宋体" w:hAnsi="宋体" w:eastAsia="仿宋_GB2312" w:cs="仿宋"/>
          <w:sz w:val="32"/>
          <w:szCs w:val="32"/>
          <w:highlight w:val="none"/>
        </w:rPr>
        <w:t>累计融资资金达到1000-5000万元之间（含1000万元），奖励50万元；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w:t>
      </w:r>
      <w:r>
        <w:rPr>
          <w:rFonts w:hint="eastAsia" w:ascii="宋体" w:hAnsi="宋体" w:eastAsia="仿宋_GB2312" w:cs="仿宋"/>
          <w:sz w:val="32"/>
          <w:szCs w:val="32"/>
          <w:highlight w:val="none"/>
        </w:rPr>
        <w:t>累计融资资金达到5000万元-1亿元之间（含5000万元），奖励100万元；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w:t>
      </w:r>
      <w:r>
        <w:rPr>
          <w:rFonts w:hint="eastAsia" w:ascii="宋体" w:hAnsi="宋体" w:eastAsia="仿宋_GB2312" w:cs="仿宋"/>
          <w:sz w:val="32"/>
          <w:szCs w:val="32"/>
          <w:highlight w:val="none"/>
        </w:rPr>
        <w:t>累计融资资金达到1亿元（含1亿元）以上，奖励125万元。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rPr>
      </w:pPr>
      <w:r>
        <w:rPr>
          <w:rFonts w:hint="eastAsia" w:ascii="黑体" w:hAnsi="黑体" w:eastAsia="黑体" w:cs="黑体"/>
          <w:sz w:val="32"/>
          <w:szCs w:val="32"/>
          <w:lang w:val="en-US" w:eastAsia="zh-CN"/>
        </w:rPr>
        <w:t>第十四条</w:t>
      </w:r>
      <w:r>
        <w:rPr>
          <w:rFonts w:hint="eastAsia" w:ascii="宋体" w:hAnsi="宋体" w:eastAsia="仿宋_GB2312" w:cs="仿宋"/>
          <w:sz w:val="32"/>
          <w:szCs w:val="32"/>
        </w:rPr>
        <w:t>　</w:t>
      </w:r>
      <w:r>
        <w:rPr>
          <w:rFonts w:ascii="宋体" w:hAnsi="宋体" w:eastAsia="仿宋_GB2312" w:cs="仿宋"/>
          <w:sz w:val="32"/>
          <w:szCs w:val="32"/>
        </w:rPr>
        <w:t>区内企业在上交所、深交所</w:t>
      </w:r>
      <w:r>
        <w:rPr>
          <w:rFonts w:hint="eastAsia" w:ascii="宋体" w:hAnsi="宋体" w:eastAsia="仿宋_GB2312" w:cs="仿宋"/>
          <w:sz w:val="32"/>
          <w:szCs w:val="32"/>
          <w:lang w:eastAsia="zh-CN"/>
        </w:rPr>
        <w:t>、</w:t>
      </w:r>
      <w:r>
        <w:rPr>
          <w:rFonts w:hint="eastAsia" w:ascii="宋体" w:hAnsi="宋体" w:eastAsia="仿宋_GB2312" w:cs="仿宋"/>
          <w:sz w:val="32"/>
          <w:szCs w:val="32"/>
          <w:lang w:val="en-US" w:eastAsia="zh-CN"/>
        </w:rPr>
        <w:t>北交所</w:t>
      </w:r>
      <w:r>
        <w:rPr>
          <w:rFonts w:ascii="宋体" w:hAnsi="宋体" w:eastAsia="仿宋_GB2312" w:cs="仿宋"/>
          <w:sz w:val="32"/>
          <w:szCs w:val="32"/>
        </w:rPr>
        <w:t>或区政府认可的境外资本市场上市的，通过配股、增发新股、发行可转换债券等方式成功再融资且募集资金50%以上已经完成投入南海区的，按融资金额分四个档次给予企业奖励：</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textAlignment w:val="auto"/>
        <w:outlineLvl w:val="9"/>
        <w:rPr>
          <w:rFonts w:ascii="宋体" w:hAnsi="宋体" w:eastAsia="仿宋_GB2312" w:cs="仿宋"/>
          <w:sz w:val="32"/>
          <w:szCs w:val="32"/>
        </w:rPr>
      </w:pPr>
      <w:r>
        <w:rPr>
          <w:rFonts w:hint="eastAsia" w:ascii="宋体" w:hAnsi="宋体" w:eastAsia="仿宋_GB2312" w:cs="仿宋"/>
          <w:sz w:val="32"/>
          <w:szCs w:val="32"/>
        </w:rPr>
        <w:t>　　</w:t>
      </w:r>
      <w:r>
        <w:rPr>
          <w:rFonts w:hint="eastAsia" w:ascii="楷体_GB2312" w:hAnsi="楷体_GB2312" w:eastAsia="楷体_GB2312" w:cs="楷体_GB2312"/>
          <w:sz w:val="32"/>
          <w:szCs w:val="32"/>
        </w:rPr>
        <w:t>（一）</w:t>
      </w:r>
      <w:r>
        <w:rPr>
          <w:rFonts w:hint="eastAsia" w:ascii="宋体" w:hAnsi="宋体" w:eastAsia="仿宋_GB2312" w:cs="仿宋"/>
          <w:sz w:val="32"/>
          <w:szCs w:val="32"/>
        </w:rPr>
        <w:t>融资额在</w:t>
      </w:r>
      <w:r>
        <w:rPr>
          <w:rFonts w:ascii="宋体" w:hAnsi="宋体" w:eastAsia="仿宋_GB2312" w:cs="仿宋"/>
          <w:sz w:val="32"/>
          <w:szCs w:val="32"/>
        </w:rPr>
        <w:t>1</w:t>
      </w:r>
      <w:r>
        <w:rPr>
          <w:rFonts w:hint="eastAsia" w:ascii="宋体" w:hAnsi="宋体" w:eastAsia="仿宋_GB2312" w:cs="仿宋"/>
          <w:sz w:val="32"/>
          <w:szCs w:val="32"/>
        </w:rPr>
        <w:t>―</w:t>
      </w:r>
      <w:r>
        <w:rPr>
          <w:rFonts w:ascii="宋体" w:hAnsi="宋体" w:eastAsia="仿宋_GB2312" w:cs="仿宋"/>
          <w:sz w:val="32"/>
          <w:szCs w:val="32"/>
        </w:rPr>
        <w:t>5亿元之间的（含1亿元），奖励50万元；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textAlignment w:val="auto"/>
        <w:outlineLvl w:val="9"/>
        <w:rPr>
          <w:rFonts w:ascii="宋体" w:hAnsi="宋体" w:eastAsia="仿宋_GB2312" w:cs="仿宋"/>
          <w:sz w:val="32"/>
          <w:szCs w:val="32"/>
        </w:rPr>
      </w:pPr>
      <w:r>
        <w:rPr>
          <w:rFonts w:hint="eastAsia" w:ascii="宋体" w:hAnsi="宋体" w:eastAsia="仿宋_GB2312" w:cs="仿宋"/>
          <w:sz w:val="32"/>
          <w:szCs w:val="32"/>
        </w:rPr>
        <w:t>　　</w:t>
      </w:r>
      <w:r>
        <w:rPr>
          <w:rFonts w:hint="eastAsia" w:ascii="楷体_GB2312" w:hAnsi="楷体_GB2312" w:eastAsia="楷体_GB2312" w:cs="楷体_GB2312"/>
          <w:sz w:val="32"/>
          <w:szCs w:val="32"/>
        </w:rPr>
        <w:t>（二）</w:t>
      </w:r>
      <w:r>
        <w:rPr>
          <w:rFonts w:hint="eastAsia" w:ascii="宋体" w:hAnsi="宋体" w:eastAsia="仿宋_GB2312" w:cs="仿宋"/>
          <w:sz w:val="32"/>
          <w:szCs w:val="32"/>
        </w:rPr>
        <w:t>融资额在</w:t>
      </w:r>
      <w:r>
        <w:rPr>
          <w:rFonts w:ascii="宋体" w:hAnsi="宋体" w:eastAsia="仿宋_GB2312" w:cs="仿宋"/>
          <w:sz w:val="32"/>
          <w:szCs w:val="32"/>
        </w:rPr>
        <w:t>5</w:t>
      </w:r>
      <w:r>
        <w:rPr>
          <w:rFonts w:hint="eastAsia" w:ascii="宋体" w:hAnsi="宋体" w:eastAsia="仿宋_GB2312" w:cs="仿宋"/>
          <w:sz w:val="32"/>
          <w:szCs w:val="32"/>
        </w:rPr>
        <w:t>―</w:t>
      </w:r>
      <w:r>
        <w:rPr>
          <w:rFonts w:ascii="宋体" w:hAnsi="宋体" w:eastAsia="仿宋_GB2312" w:cs="仿宋"/>
          <w:sz w:val="32"/>
          <w:szCs w:val="32"/>
        </w:rPr>
        <w:t>10亿元之间的（含5亿元），奖励100万元；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textAlignment w:val="auto"/>
        <w:outlineLvl w:val="9"/>
        <w:rPr>
          <w:rFonts w:ascii="宋体" w:hAnsi="宋体" w:eastAsia="仿宋_GB2312" w:cs="仿宋"/>
          <w:sz w:val="32"/>
          <w:szCs w:val="32"/>
        </w:rPr>
      </w:pPr>
      <w:r>
        <w:rPr>
          <w:rFonts w:hint="eastAsia" w:ascii="宋体" w:hAnsi="宋体" w:eastAsia="仿宋_GB2312" w:cs="仿宋"/>
          <w:sz w:val="32"/>
          <w:szCs w:val="32"/>
        </w:rPr>
        <w:t>　　</w:t>
      </w:r>
      <w:r>
        <w:rPr>
          <w:rFonts w:hint="eastAsia" w:ascii="楷体_GB2312" w:hAnsi="楷体_GB2312" w:eastAsia="楷体_GB2312" w:cs="楷体_GB2312"/>
          <w:sz w:val="32"/>
          <w:szCs w:val="32"/>
        </w:rPr>
        <w:t>（三）</w:t>
      </w:r>
      <w:r>
        <w:rPr>
          <w:rFonts w:hint="eastAsia" w:ascii="宋体" w:hAnsi="宋体" w:eastAsia="仿宋_GB2312" w:cs="仿宋"/>
          <w:sz w:val="32"/>
          <w:szCs w:val="32"/>
        </w:rPr>
        <w:t>融资额在</w:t>
      </w:r>
      <w:r>
        <w:rPr>
          <w:rFonts w:ascii="宋体" w:hAnsi="宋体" w:eastAsia="仿宋_GB2312" w:cs="仿宋"/>
          <w:sz w:val="32"/>
          <w:szCs w:val="32"/>
        </w:rPr>
        <w:t>10</w:t>
      </w:r>
      <w:r>
        <w:rPr>
          <w:rFonts w:hint="eastAsia" w:ascii="宋体" w:hAnsi="宋体" w:eastAsia="仿宋_GB2312" w:cs="仿宋"/>
          <w:sz w:val="32"/>
          <w:szCs w:val="32"/>
        </w:rPr>
        <w:t>―</w:t>
      </w:r>
      <w:r>
        <w:rPr>
          <w:rFonts w:ascii="宋体" w:hAnsi="宋体" w:eastAsia="仿宋_GB2312" w:cs="仿宋"/>
          <w:sz w:val="32"/>
          <w:szCs w:val="32"/>
        </w:rPr>
        <w:t>20亿元之间的（含10亿元），奖励150万元；</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lang w:eastAsia="zh-CN"/>
        </w:rPr>
      </w:pPr>
      <w:r>
        <w:rPr>
          <w:rFonts w:hint="eastAsia" w:ascii="楷体_GB2312" w:hAnsi="楷体_GB2312" w:eastAsia="楷体_GB2312" w:cs="楷体_GB2312"/>
          <w:sz w:val="32"/>
          <w:szCs w:val="32"/>
        </w:rPr>
        <w:t>（四）</w:t>
      </w:r>
      <w:r>
        <w:rPr>
          <w:rFonts w:hint="eastAsia" w:ascii="宋体" w:hAnsi="宋体" w:eastAsia="仿宋_GB2312" w:cs="仿宋"/>
          <w:sz w:val="32"/>
          <w:szCs w:val="32"/>
        </w:rPr>
        <w:t>融资额在</w:t>
      </w:r>
      <w:r>
        <w:rPr>
          <w:rFonts w:ascii="宋体" w:hAnsi="宋体" w:eastAsia="仿宋_GB2312" w:cs="仿宋"/>
          <w:sz w:val="32"/>
          <w:szCs w:val="32"/>
        </w:rPr>
        <w:t>20亿元以上的（含20亿元），奖励200万</w:t>
      </w:r>
      <w:r>
        <w:rPr>
          <w:rFonts w:hint="eastAsia" w:ascii="宋体" w:hAnsi="宋体" w:eastAsia="仿宋_GB2312" w:cs="仿宋"/>
          <w:sz w:val="32"/>
          <w:szCs w:val="32"/>
          <w:lang w:eastAsia="zh-CN"/>
        </w:rPr>
        <w:t>。</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lang w:eastAsia="zh-CN"/>
        </w:rPr>
      </w:pPr>
      <w:r>
        <w:rPr>
          <w:rFonts w:hint="eastAsia" w:ascii="黑体" w:hAnsi="黑体" w:eastAsia="黑体" w:cs="黑体"/>
          <w:sz w:val="32"/>
          <w:szCs w:val="32"/>
          <w:lang w:val="en-US" w:eastAsia="zh-CN"/>
        </w:rPr>
        <w:t>第十五条</w:t>
      </w:r>
      <w:r>
        <w:rPr>
          <w:rFonts w:hint="eastAsia" w:ascii="宋体" w:hAnsi="宋体" w:eastAsia="仿宋_GB2312" w:cs="仿宋"/>
          <w:sz w:val="32"/>
          <w:szCs w:val="32"/>
          <w:lang w:val="en-US" w:eastAsia="zh-CN"/>
        </w:rPr>
        <w:t xml:space="preserve">  </w:t>
      </w:r>
      <w:r>
        <w:rPr>
          <w:rFonts w:hint="eastAsia" w:ascii="宋体" w:hAnsi="宋体" w:eastAsia="仿宋_GB2312" w:cs="仿宋"/>
          <w:sz w:val="32"/>
          <w:szCs w:val="32"/>
        </w:rPr>
        <w:t>区内企业在境内外资本市场上采用买壳（借壳）方式上市的，给予500万元奖励。有关奖励资金在国内上市公司（或境外上市公司在国内直接控股的企业）将住所迁至南海区后支付给企业</w:t>
      </w:r>
      <w:r>
        <w:rPr>
          <w:rFonts w:hint="eastAsia" w:ascii="宋体" w:hAnsi="宋体" w:eastAsia="仿宋_GB2312" w:cs="仿宋"/>
          <w:sz w:val="32"/>
          <w:szCs w:val="32"/>
          <w:lang w:eastAsia="zh-CN"/>
        </w:rPr>
        <w:t>。</w:t>
      </w:r>
    </w:p>
    <w:p>
      <w:pPr>
        <w:pStyle w:val="5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i w:val="0"/>
          <w:iCs w:val="0"/>
          <w:color w:val="auto"/>
          <w:sz w:val="32"/>
          <w:szCs w:val="32"/>
          <w:highlight w:val="none"/>
          <w:u w:val="none"/>
        </w:rPr>
      </w:pPr>
      <w:r>
        <w:rPr>
          <w:rFonts w:hint="eastAsia" w:ascii="黑体" w:hAnsi="黑体" w:eastAsia="黑体" w:cs="黑体"/>
          <w:kern w:val="2"/>
          <w:sz w:val="32"/>
          <w:szCs w:val="32"/>
          <w:lang w:val="en-US" w:eastAsia="zh-CN" w:bidi="ar-SA"/>
        </w:rPr>
        <w:t>第十六条</w:t>
      </w:r>
      <w:r>
        <w:rPr>
          <w:rFonts w:hint="eastAsia" w:ascii="宋体" w:hAnsi="宋体" w:eastAsia="仿宋_GB2312"/>
          <w:sz w:val="32"/>
          <w:szCs w:val="32"/>
        </w:rPr>
        <w:t xml:space="preserve"> </w:t>
      </w:r>
      <w:r>
        <w:rPr>
          <w:rFonts w:hint="eastAsia" w:ascii="宋体" w:hAnsi="宋体" w:eastAsia="仿宋_GB2312"/>
          <w:sz w:val="32"/>
          <w:szCs w:val="32"/>
          <w:lang w:val="en-US" w:eastAsia="zh-CN"/>
        </w:rPr>
        <w:t xml:space="preserve"> 区外企业在上交所、深交所、北交所或区政府认可的境外资本市场上市后（包括但不限于红筹架构方式上市），将住所迁入南海区的，给予企业1000万元奖励。新三板创新层企业将住所迁入南海区的，给予企业300万元奖励。有关奖励资金在企业办理好变更登记、税务登记等有关手续后支付给企业</w:t>
      </w:r>
      <w:r>
        <w:rPr>
          <w:rFonts w:hint="eastAsia" w:ascii="宋体" w:hAnsi="宋体" w:eastAsia="仿宋_GB2312"/>
          <w:i w:val="0"/>
          <w:iCs w:val="0"/>
          <w:color w:val="auto"/>
          <w:sz w:val="32"/>
          <w:szCs w:val="32"/>
          <w:highlight w:val="none"/>
          <w:u w:val="none"/>
        </w:rPr>
        <w:t>。</w:t>
      </w:r>
    </w:p>
    <w:p>
      <w:pPr>
        <w:pStyle w:val="5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sz w:val="32"/>
          <w:szCs w:val="32"/>
        </w:rPr>
      </w:pPr>
      <w:r>
        <w:rPr>
          <w:rFonts w:hint="eastAsia" w:ascii="黑体" w:hAnsi="黑体" w:eastAsia="黑体" w:cs="黑体"/>
          <w:kern w:val="2"/>
          <w:sz w:val="32"/>
          <w:szCs w:val="32"/>
          <w:lang w:val="en-US" w:eastAsia="zh-CN" w:bidi="ar-SA"/>
        </w:rPr>
        <w:t>第十七条</w:t>
      </w:r>
      <w:r>
        <w:rPr>
          <w:rFonts w:hint="eastAsia" w:ascii="宋体" w:hAnsi="宋体" w:eastAsia="仿宋_GB2312"/>
          <w:sz w:val="32"/>
          <w:szCs w:val="32"/>
        </w:rPr>
        <w:t xml:space="preserve"> </w:t>
      </w:r>
      <w:r>
        <w:rPr>
          <w:rFonts w:hint="eastAsia" w:ascii="宋体" w:hAnsi="宋体" w:eastAsia="仿宋_GB2312"/>
          <w:sz w:val="32"/>
          <w:szCs w:val="32"/>
          <w:lang w:val="en-US" w:eastAsia="zh-CN"/>
        </w:rPr>
        <w:t xml:space="preserve"> </w:t>
      </w:r>
      <w:r>
        <w:rPr>
          <w:rFonts w:hint="eastAsia" w:ascii="宋体" w:hAnsi="宋体" w:eastAsia="仿宋_GB2312"/>
          <w:sz w:val="32"/>
          <w:szCs w:val="32"/>
        </w:rPr>
        <w:t>企业在区政府认可的境外资本市场首次公开发行股票上市（IPO）的（包括但不限于红筹架构方式上市），参照境内上市的标准（合计</w:t>
      </w:r>
      <w:r>
        <w:rPr>
          <w:rFonts w:hint="eastAsia" w:ascii="宋体" w:hAnsi="宋体" w:eastAsia="仿宋_GB2312"/>
          <w:sz w:val="32"/>
          <w:szCs w:val="32"/>
          <w:lang w:val="en-US" w:eastAsia="zh-CN"/>
        </w:rPr>
        <w:t>5</w:t>
      </w:r>
      <w:r>
        <w:rPr>
          <w:rFonts w:hint="eastAsia" w:ascii="宋体" w:hAnsi="宋体" w:eastAsia="仿宋_GB2312"/>
          <w:sz w:val="32"/>
          <w:szCs w:val="32"/>
        </w:rPr>
        <w:t>00万元）给予奖励；按其首发募集资金（按当日汇率折合人民币计算）在南海区已完成投资的金额给予企业奖励，具体参照境内上市的奖励标准执行。其中，境外上市奖励资金在企业正式挂牌上市后支付给境外公司在区内直接控股的企业，首发募资奖励资金在规定的募集资金投放于区内并提供验资报告后支付给企业。</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rPr>
      </w:pPr>
      <w:r>
        <w:rPr>
          <w:rFonts w:hint="eastAsia" w:ascii="黑体" w:hAnsi="黑体" w:eastAsia="黑体" w:cs="黑体"/>
          <w:kern w:val="2"/>
          <w:sz w:val="32"/>
          <w:szCs w:val="32"/>
          <w:lang w:val="en-US" w:eastAsia="zh-CN" w:bidi="ar-SA"/>
        </w:rPr>
        <w:t>第十八条</w:t>
      </w:r>
      <w:r>
        <w:rPr>
          <w:rFonts w:hint="eastAsia" w:ascii="宋体" w:hAnsi="宋体" w:eastAsia="仿宋_GB2312" w:cs="仿宋"/>
          <w:sz w:val="32"/>
          <w:szCs w:val="32"/>
        </w:rPr>
        <w:t>　鼓励我区上市公司对员工进行员工期权（股权）激励。</w:t>
      </w:r>
      <w:r>
        <w:rPr>
          <w:rFonts w:hint="eastAsia" w:ascii="宋体" w:hAnsi="宋体" w:eastAsia="仿宋_GB2312" w:cs="仿宋"/>
          <w:sz w:val="32"/>
          <w:szCs w:val="32"/>
          <w:lang w:val="en-US" w:eastAsia="zh-CN"/>
        </w:rPr>
        <w:t>按照</w:t>
      </w:r>
      <w:r>
        <w:rPr>
          <w:rFonts w:hint="eastAsia" w:ascii="宋体" w:hAnsi="宋体" w:eastAsia="仿宋_GB2312" w:cs="仿宋"/>
          <w:sz w:val="32"/>
          <w:szCs w:val="32"/>
        </w:rPr>
        <w:t>上市公司对员工进行期权（股权）激励</w:t>
      </w:r>
      <w:r>
        <w:rPr>
          <w:rFonts w:hint="eastAsia" w:ascii="宋体" w:hAnsi="宋体" w:eastAsia="仿宋_GB2312" w:cs="仿宋"/>
          <w:sz w:val="32"/>
          <w:szCs w:val="32"/>
          <w:lang w:val="en-US" w:eastAsia="zh-CN"/>
        </w:rPr>
        <w:t>所</w:t>
      </w:r>
      <w:r>
        <w:rPr>
          <w:rFonts w:hint="eastAsia" w:ascii="宋体" w:hAnsi="宋体" w:eastAsia="仿宋_GB2312" w:cs="仿宋"/>
          <w:sz w:val="32"/>
          <w:szCs w:val="32"/>
        </w:rPr>
        <w:t>产生地方贡献的80%，给予参加期权（股权）激励的上市公司员工补助。</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rPr>
      </w:pPr>
      <w:r>
        <w:rPr>
          <w:rFonts w:ascii="宋体" w:hAnsi="宋体" w:eastAsia="仿宋_GB2312" w:cs="仿宋"/>
          <w:sz w:val="32"/>
          <w:szCs w:val="32"/>
        </w:rPr>
        <w:t>鼓励我区上市公司股东在区内进行限售股减持。上市公司直接持股股东在我区减持限售股的，按企业和个人减持限售股合共所产生地方贡献的80%，给予上市公司股东补助。</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rPr>
      </w:pPr>
      <w:r>
        <w:rPr>
          <w:rFonts w:hint="eastAsia" w:ascii="黑体" w:hAnsi="黑体" w:eastAsia="黑体" w:cs="黑体"/>
          <w:kern w:val="2"/>
          <w:sz w:val="32"/>
          <w:szCs w:val="32"/>
          <w:lang w:val="en-US" w:eastAsia="zh-CN" w:bidi="ar-SA"/>
        </w:rPr>
        <w:t>第十九条</w:t>
      </w:r>
      <w:r>
        <w:rPr>
          <w:rFonts w:hint="eastAsia" w:ascii="宋体" w:hAnsi="宋体" w:eastAsia="仿宋_GB2312" w:cs="仿宋"/>
          <w:sz w:val="32"/>
          <w:szCs w:val="32"/>
        </w:rPr>
        <w:t xml:space="preserve">  区内上市企业在兼并重组过程中产生的财务费用成本（包括但不限于券商、律师、会计师、咨询机构等中介的费用），按实际支出的50%给予事后补助，单个项目最高补助1000万元。被兼并企业注册地及纳税地须迁至</w:t>
      </w:r>
      <w:r>
        <w:rPr>
          <w:rFonts w:hint="eastAsia" w:ascii="宋体" w:hAnsi="宋体" w:eastAsia="仿宋_GB2312" w:cs="仿宋"/>
          <w:sz w:val="32"/>
          <w:szCs w:val="32"/>
          <w:lang w:val="en-US" w:eastAsia="zh-CN"/>
        </w:rPr>
        <w:t>南海区</w:t>
      </w:r>
      <w:r>
        <w:rPr>
          <w:rFonts w:hint="eastAsia" w:ascii="宋体" w:hAnsi="宋体" w:eastAsia="仿宋_GB2312" w:cs="仿宋"/>
          <w:sz w:val="32"/>
          <w:szCs w:val="32"/>
        </w:rPr>
        <w:t>或将主要税收汇总在区内上市主体，并出具承诺函，</w:t>
      </w:r>
      <w:r>
        <w:rPr>
          <w:rFonts w:hint="eastAsia" w:ascii="宋体" w:hAnsi="宋体" w:eastAsia="仿宋_GB2312" w:cs="仿宋"/>
          <w:sz w:val="32"/>
          <w:szCs w:val="32"/>
          <w:lang w:val="en-US" w:eastAsia="zh-CN"/>
        </w:rPr>
        <w:t>10</w:t>
      </w:r>
      <w:r>
        <w:rPr>
          <w:rFonts w:hint="eastAsia" w:ascii="宋体" w:hAnsi="宋体" w:eastAsia="仿宋_GB2312" w:cs="仿宋"/>
          <w:sz w:val="32"/>
          <w:szCs w:val="32"/>
        </w:rPr>
        <w:t>年内解散重组或迁离</w:t>
      </w:r>
      <w:r>
        <w:rPr>
          <w:rFonts w:hint="eastAsia" w:ascii="宋体" w:hAnsi="宋体" w:eastAsia="仿宋_GB2312" w:cs="仿宋"/>
          <w:sz w:val="32"/>
          <w:szCs w:val="32"/>
          <w:lang w:val="en-US" w:eastAsia="zh-CN"/>
        </w:rPr>
        <w:t>南海</w:t>
      </w:r>
      <w:r>
        <w:rPr>
          <w:rFonts w:hint="eastAsia" w:ascii="宋体" w:hAnsi="宋体" w:eastAsia="仿宋_GB2312" w:cs="仿宋"/>
          <w:sz w:val="32"/>
          <w:szCs w:val="32"/>
        </w:rPr>
        <w:t>区的全额退回申领的扶持资金。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sz w:val="32"/>
          <w:szCs w:val="32"/>
        </w:rPr>
      </w:pPr>
      <w:r>
        <w:rPr>
          <w:rFonts w:hint="eastAsia" w:ascii="黑体" w:hAnsi="黑体" w:eastAsia="黑体" w:cs="黑体"/>
          <w:spacing w:val="0"/>
          <w:kern w:val="2"/>
          <w:sz w:val="32"/>
          <w:szCs w:val="32"/>
          <w:lang w:val="en-US" w:eastAsia="zh-CN" w:bidi="ar-SA"/>
        </w:rPr>
        <w:t>第二十条</w:t>
      </w:r>
      <w:r>
        <w:rPr>
          <w:rFonts w:hint="eastAsia" w:ascii="宋体" w:hAnsi="宋体" w:eastAsia="仿宋_GB2312" w:cs="黑体"/>
          <w:sz w:val="32"/>
          <w:szCs w:val="32"/>
          <w:lang w:val="en-US" w:eastAsia="zh-CN"/>
        </w:rPr>
        <w:t xml:space="preserve"> </w:t>
      </w:r>
      <w:r>
        <w:rPr>
          <w:rFonts w:hint="eastAsia" w:ascii="宋体" w:hAnsi="宋体" w:eastAsia="仿宋_GB2312"/>
          <w:sz w:val="32"/>
          <w:szCs w:val="32"/>
        </w:rPr>
        <w:t xml:space="preserve"> </w:t>
      </w:r>
      <w:bookmarkStart w:id="0" w:name="OLE_LINK5"/>
      <w:r>
        <w:rPr>
          <w:rFonts w:hint="eastAsia" w:ascii="宋体" w:hAnsi="宋体" w:eastAsia="仿宋_GB2312"/>
          <w:sz w:val="32"/>
          <w:szCs w:val="32"/>
        </w:rPr>
        <w:t>成功在新三板挂牌或在境内外资本市场实现IPO上市的企业可向</w:t>
      </w:r>
      <w:r>
        <w:rPr>
          <w:rFonts w:hint="eastAsia" w:ascii="宋体" w:hAnsi="宋体" w:eastAsia="仿宋_GB2312"/>
          <w:sz w:val="32"/>
          <w:szCs w:val="32"/>
          <w:lang w:val="en-US" w:eastAsia="zh-CN"/>
        </w:rPr>
        <w:t>佛山市南海区金融业发展办公室（以下简称</w:t>
      </w:r>
      <w:r>
        <w:rPr>
          <w:rFonts w:hint="eastAsia" w:ascii="宋体" w:hAnsi="宋体" w:eastAsia="仿宋_GB2312"/>
          <w:sz w:val="32"/>
          <w:szCs w:val="32"/>
          <w:lang w:eastAsia="zh-CN"/>
        </w:rPr>
        <w:t>区金融办）</w:t>
      </w:r>
      <w:r>
        <w:rPr>
          <w:rFonts w:hint="eastAsia" w:ascii="宋体" w:hAnsi="宋体" w:eastAsia="仿宋_GB2312"/>
          <w:sz w:val="32"/>
          <w:szCs w:val="32"/>
        </w:rPr>
        <w:t>推荐1家辅导机构</w:t>
      </w:r>
      <w:r>
        <w:rPr>
          <w:rFonts w:hint="eastAsia" w:ascii="宋体" w:hAnsi="宋体" w:eastAsia="仿宋_GB2312" w:cs="仿宋"/>
          <w:spacing w:val="-6"/>
          <w:sz w:val="32"/>
          <w:szCs w:val="32"/>
        </w:rPr>
        <w:t>（</w:t>
      </w:r>
      <w:r>
        <w:rPr>
          <w:rFonts w:hint="eastAsia" w:ascii="宋体" w:hAnsi="宋体" w:eastAsia="仿宋_GB2312" w:cs="仿宋"/>
          <w:spacing w:val="-6"/>
          <w:sz w:val="32"/>
        </w:rPr>
        <w:t>券商、律师事务所、会计师事务所、咨询公司、投资机构</w:t>
      </w:r>
      <w:r>
        <w:rPr>
          <w:rFonts w:hint="eastAsia" w:ascii="宋体" w:hAnsi="宋体" w:eastAsia="仿宋_GB2312" w:cs="仿宋"/>
          <w:spacing w:val="-6"/>
          <w:sz w:val="32"/>
          <w:szCs w:val="32"/>
        </w:rPr>
        <w:t>）</w:t>
      </w:r>
      <w:r>
        <w:rPr>
          <w:rFonts w:hint="eastAsia" w:ascii="宋体" w:hAnsi="宋体" w:eastAsia="仿宋_GB2312"/>
          <w:sz w:val="32"/>
          <w:szCs w:val="32"/>
        </w:rPr>
        <w:t>申请辅导奖励。辅导机构成功辅导企业在新三板挂牌的给予20万元奖励；成功辅导企业在境内外资本市场实现IPO上市的，给予30万元奖励。</w:t>
      </w:r>
      <w:bookmarkEnd w:id="0"/>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rPr>
      </w:pPr>
      <w:r>
        <w:rPr>
          <w:rFonts w:hint="eastAsia" w:ascii="黑体" w:hAnsi="黑体" w:eastAsia="黑体" w:cs="黑体"/>
          <w:spacing w:val="0"/>
          <w:kern w:val="2"/>
          <w:sz w:val="32"/>
          <w:szCs w:val="32"/>
          <w:lang w:val="en-US" w:eastAsia="zh-CN" w:bidi="ar-SA"/>
        </w:rPr>
        <w:t>第二十一条</w:t>
      </w:r>
      <w:r>
        <w:rPr>
          <w:rFonts w:hint="eastAsia" w:ascii="宋体" w:hAnsi="宋体" w:eastAsia="仿宋_GB2312" w:cs="仿宋"/>
          <w:sz w:val="32"/>
          <w:szCs w:val="32"/>
          <w:lang w:val="en-US" w:eastAsia="zh-CN"/>
        </w:rPr>
        <w:t xml:space="preserve">  </w:t>
      </w:r>
      <w:r>
        <w:rPr>
          <w:rFonts w:hint="eastAsia" w:ascii="宋体" w:hAnsi="宋体" w:eastAsia="仿宋_GB2312" w:cs="仿宋"/>
          <w:sz w:val="32"/>
          <w:szCs w:val="32"/>
        </w:rPr>
        <w:t>符合条件的企业应于佛山扶持通上申请通过后，向所属镇（街道）经济发展办公室递交相应的纸质申请</w:t>
      </w:r>
      <w:r>
        <w:rPr>
          <w:rFonts w:hint="eastAsia" w:ascii="宋体" w:hAnsi="宋体" w:eastAsia="仿宋_GB2312" w:cs="仿宋"/>
          <w:sz w:val="32"/>
          <w:szCs w:val="32"/>
          <w:lang w:eastAsia="zh-CN"/>
        </w:rPr>
        <w:t>。</w:t>
      </w:r>
      <w:r>
        <w:rPr>
          <w:rFonts w:ascii="宋体" w:hAnsi="宋体" w:eastAsia="仿宋_GB2312" w:cs="仿宋"/>
          <w:sz w:val="32"/>
          <w:szCs w:val="32"/>
        </w:rPr>
        <w:t>经镇（街道）审核</w:t>
      </w:r>
      <w:r>
        <w:rPr>
          <w:rFonts w:hint="eastAsia" w:ascii="宋体" w:hAnsi="宋体" w:eastAsia="仿宋_GB2312" w:cs="仿宋"/>
          <w:sz w:val="32"/>
          <w:szCs w:val="32"/>
          <w:lang w:val="en-US" w:eastAsia="zh-CN"/>
        </w:rPr>
        <w:t>后</w:t>
      </w:r>
      <w:r>
        <w:rPr>
          <w:rFonts w:ascii="宋体" w:hAnsi="宋体" w:eastAsia="仿宋_GB2312" w:cs="仿宋"/>
          <w:sz w:val="32"/>
          <w:szCs w:val="32"/>
        </w:rPr>
        <w:t>，再由区</w:t>
      </w:r>
      <w:r>
        <w:rPr>
          <w:rFonts w:hint="eastAsia" w:ascii="宋体" w:hAnsi="宋体" w:eastAsia="仿宋_GB2312" w:cs="仿宋"/>
          <w:sz w:val="32"/>
          <w:szCs w:val="32"/>
          <w:lang w:val="en-US" w:eastAsia="zh-CN"/>
        </w:rPr>
        <w:t>金融办进行</w:t>
      </w:r>
      <w:r>
        <w:rPr>
          <w:rFonts w:ascii="宋体" w:hAnsi="宋体" w:eastAsia="仿宋_GB2312" w:cs="仿宋"/>
          <w:sz w:val="32"/>
          <w:szCs w:val="32"/>
        </w:rPr>
        <w:t>核定，</w:t>
      </w:r>
      <w:r>
        <w:rPr>
          <w:rFonts w:hint="eastAsia" w:ascii="宋体" w:hAnsi="宋体" w:eastAsia="仿宋_GB2312" w:cs="仿宋"/>
          <w:sz w:val="32"/>
          <w:szCs w:val="32"/>
        </w:rPr>
        <w:t>扶持奖补项目名单及金额经</w:t>
      </w:r>
      <w:r>
        <w:rPr>
          <w:rFonts w:hint="eastAsia" w:ascii="宋体" w:hAnsi="宋体" w:eastAsia="仿宋_GB2312" w:cs="仿宋"/>
          <w:sz w:val="32"/>
          <w:szCs w:val="32"/>
          <w:lang w:val="en-US" w:eastAsia="zh-CN"/>
        </w:rPr>
        <w:t>区金融办</w:t>
      </w:r>
      <w:r>
        <w:rPr>
          <w:rFonts w:hint="eastAsia" w:ascii="宋体" w:hAnsi="宋体" w:eastAsia="仿宋_GB2312" w:cs="仿宋"/>
          <w:sz w:val="32"/>
          <w:szCs w:val="32"/>
        </w:rPr>
        <w:t>党组会议或领导办公会议讨论并通过后，由</w:t>
      </w:r>
      <w:r>
        <w:rPr>
          <w:rFonts w:hint="eastAsia" w:ascii="宋体" w:hAnsi="宋体" w:eastAsia="仿宋_GB2312" w:cs="仿宋"/>
          <w:sz w:val="32"/>
          <w:szCs w:val="32"/>
          <w:lang w:val="en-US" w:eastAsia="zh-CN"/>
        </w:rPr>
        <w:t>区金融办</w:t>
      </w:r>
      <w:r>
        <w:rPr>
          <w:rFonts w:hint="eastAsia" w:ascii="宋体" w:hAnsi="宋体" w:eastAsia="仿宋_GB2312" w:cs="仿宋"/>
          <w:sz w:val="32"/>
          <w:szCs w:val="32"/>
        </w:rPr>
        <w:t>按照国库集中支付相关规定拨付资金给企业</w:t>
      </w:r>
      <w:r>
        <w:rPr>
          <w:rFonts w:ascii="宋体" w:hAnsi="宋体" w:eastAsia="仿宋_GB2312" w:cs="仿宋"/>
          <w:sz w:val="32"/>
          <w:szCs w:val="32"/>
        </w:rPr>
        <w:t>。其中，企业在</w:t>
      </w:r>
      <w:r>
        <w:rPr>
          <w:rFonts w:hint="eastAsia" w:ascii="宋体" w:hAnsi="宋体" w:eastAsia="仿宋_GB2312" w:cs="仿宋"/>
          <w:sz w:val="32"/>
          <w:szCs w:val="32"/>
        </w:rPr>
        <w:t>广东股权交易中心</w:t>
      </w:r>
      <w:r>
        <w:rPr>
          <w:rFonts w:ascii="宋体" w:hAnsi="宋体" w:eastAsia="仿宋_GB2312" w:cs="仿宋"/>
          <w:sz w:val="32"/>
          <w:szCs w:val="32"/>
        </w:rPr>
        <w:t>的挂牌和融资奖励须先由</w:t>
      </w:r>
      <w:r>
        <w:rPr>
          <w:rFonts w:hint="eastAsia" w:ascii="宋体" w:hAnsi="宋体" w:eastAsia="仿宋_GB2312" w:cs="仿宋"/>
          <w:sz w:val="32"/>
          <w:szCs w:val="32"/>
        </w:rPr>
        <w:t>广东股权交易中心</w:t>
      </w:r>
      <w:r>
        <w:rPr>
          <w:rFonts w:ascii="宋体" w:hAnsi="宋体" w:eastAsia="仿宋_GB2312" w:cs="仿宋"/>
          <w:sz w:val="32"/>
          <w:szCs w:val="32"/>
        </w:rPr>
        <w:t>出具审核意见。</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rPr>
      </w:pPr>
      <w:r>
        <w:rPr>
          <w:rFonts w:hint="eastAsia" w:ascii="黑体" w:hAnsi="黑体" w:eastAsia="黑体" w:cs="黑体"/>
          <w:spacing w:val="0"/>
          <w:kern w:val="2"/>
          <w:sz w:val="32"/>
          <w:szCs w:val="32"/>
          <w:lang w:val="en-US" w:eastAsia="zh-CN" w:bidi="ar-SA"/>
        </w:rPr>
        <w:t>第二十二条</w:t>
      </w:r>
      <w:r>
        <w:rPr>
          <w:rFonts w:hint="eastAsia" w:ascii="宋体" w:hAnsi="宋体" w:eastAsia="仿宋_GB2312" w:cs="仿宋"/>
          <w:sz w:val="32"/>
          <w:szCs w:val="32"/>
          <w:lang w:val="en-US" w:eastAsia="zh-CN"/>
        </w:rPr>
        <w:t xml:space="preserve">  </w:t>
      </w:r>
      <w:r>
        <w:rPr>
          <w:rFonts w:ascii="宋体" w:hAnsi="宋体" w:eastAsia="仿宋_GB2312" w:cs="仿宋"/>
          <w:sz w:val="32"/>
          <w:szCs w:val="32"/>
        </w:rPr>
        <w:t>区政府设立“南海区优质企业上市和发展扶持专项资金”，专项资金由</w:t>
      </w:r>
      <w:r>
        <w:rPr>
          <w:rFonts w:hint="eastAsia" w:ascii="宋体" w:hAnsi="宋体" w:eastAsia="仿宋_GB2312" w:cs="仿宋"/>
          <w:sz w:val="32"/>
          <w:szCs w:val="32"/>
          <w:lang w:eastAsia="zh-CN"/>
        </w:rPr>
        <w:t>区金融办</w:t>
      </w:r>
      <w:r>
        <w:rPr>
          <w:rFonts w:ascii="宋体" w:hAnsi="宋体" w:eastAsia="仿宋_GB2312" w:cs="仿宋"/>
          <w:sz w:val="32"/>
          <w:szCs w:val="32"/>
        </w:rPr>
        <w:t>负责财政预算的申报。以企业</w:t>
      </w:r>
      <w:r>
        <w:rPr>
          <w:rFonts w:hint="eastAsia" w:ascii="宋体" w:hAnsi="宋体" w:eastAsia="仿宋_GB2312" w:cs="仿宋"/>
          <w:sz w:val="32"/>
          <w:szCs w:val="32"/>
          <w:lang w:val="en-US" w:eastAsia="zh-CN"/>
        </w:rPr>
        <w:t>地方</w:t>
      </w:r>
      <w:r>
        <w:rPr>
          <w:rFonts w:ascii="宋体" w:hAnsi="宋体" w:eastAsia="仿宋_GB2312" w:cs="仿宋"/>
          <w:sz w:val="32"/>
          <w:szCs w:val="32"/>
        </w:rPr>
        <w:t>贡献核定奖励或补贴的，区、镇（街道）按</w:t>
      </w:r>
      <w:r>
        <w:rPr>
          <w:rFonts w:hint="eastAsia" w:ascii="宋体" w:hAnsi="宋体" w:eastAsia="仿宋_GB2312" w:cs="仿宋"/>
          <w:sz w:val="32"/>
          <w:szCs w:val="32"/>
        </w:rPr>
        <w:t>地方贡献比例</w:t>
      </w:r>
      <w:r>
        <w:rPr>
          <w:rFonts w:ascii="宋体" w:hAnsi="宋体" w:eastAsia="仿宋_GB2312" w:cs="仿宋"/>
          <w:sz w:val="32"/>
          <w:szCs w:val="32"/>
        </w:rPr>
        <w:t>共同负担。</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rPr>
      </w:pPr>
      <w:r>
        <w:rPr>
          <w:rFonts w:hint="eastAsia" w:ascii="黑体" w:hAnsi="黑体" w:eastAsia="黑体" w:cs="黑体"/>
          <w:spacing w:val="0"/>
          <w:kern w:val="2"/>
          <w:sz w:val="32"/>
          <w:szCs w:val="32"/>
          <w:lang w:val="en-US" w:eastAsia="zh-CN" w:bidi="ar-SA"/>
        </w:rPr>
        <w:t>第二十三条</w:t>
      </w:r>
      <w:r>
        <w:rPr>
          <w:rFonts w:hint="eastAsia" w:ascii="宋体" w:hAnsi="宋体" w:eastAsia="仿宋_GB2312" w:cs="仿宋"/>
          <w:sz w:val="32"/>
          <w:szCs w:val="32"/>
          <w:lang w:val="en-US" w:eastAsia="zh-CN"/>
        </w:rPr>
        <w:t xml:space="preserve">  </w:t>
      </w:r>
      <w:r>
        <w:rPr>
          <w:rFonts w:ascii="宋体" w:hAnsi="宋体" w:eastAsia="仿宋_GB2312" w:cs="仿宋"/>
          <w:sz w:val="32"/>
          <w:szCs w:val="32"/>
        </w:rPr>
        <w:t>成功申请</w:t>
      </w:r>
      <w:r>
        <w:rPr>
          <w:rFonts w:hint="eastAsia" w:ascii="宋体" w:hAnsi="宋体" w:eastAsia="仿宋_GB2312" w:cs="仿宋"/>
          <w:sz w:val="32"/>
          <w:szCs w:val="32"/>
          <w:lang w:val="en-US" w:eastAsia="zh-CN"/>
        </w:rPr>
        <w:t>本办法</w:t>
      </w:r>
      <w:r>
        <w:rPr>
          <w:rFonts w:ascii="宋体" w:hAnsi="宋体" w:eastAsia="仿宋_GB2312" w:cs="仿宋"/>
          <w:sz w:val="32"/>
          <w:szCs w:val="32"/>
        </w:rPr>
        <w:t>相关扶持补助的企业，</w:t>
      </w:r>
      <w:r>
        <w:rPr>
          <w:rFonts w:hint="eastAsia" w:ascii="宋体" w:hAnsi="宋体" w:eastAsia="仿宋_GB2312" w:cs="仿宋"/>
          <w:sz w:val="32"/>
          <w:szCs w:val="32"/>
          <w:lang w:val="en-US" w:eastAsia="zh-CN"/>
        </w:rPr>
        <w:t>10</w:t>
      </w:r>
      <w:r>
        <w:rPr>
          <w:rFonts w:ascii="宋体" w:hAnsi="宋体" w:eastAsia="仿宋_GB2312" w:cs="仿宋"/>
          <w:sz w:val="32"/>
          <w:szCs w:val="32"/>
        </w:rPr>
        <w:t>年内外迁的，依本办法获得的挂牌上市奖励及补助（含同期</w:t>
      </w:r>
      <w:r>
        <w:rPr>
          <w:rFonts w:hint="eastAsia" w:ascii="宋体" w:hAnsi="宋体" w:eastAsia="仿宋_GB2312" w:cs="仿宋"/>
          <w:sz w:val="32"/>
          <w:szCs w:val="32"/>
          <w:lang w:val="en-US" w:eastAsia="zh-CN"/>
        </w:rPr>
        <w:t>活期存款</w:t>
      </w:r>
      <w:r>
        <w:rPr>
          <w:rFonts w:ascii="宋体" w:hAnsi="宋体" w:eastAsia="仿宋_GB2312" w:cs="仿宋"/>
          <w:sz w:val="32"/>
          <w:szCs w:val="32"/>
        </w:rPr>
        <w:t>利息）须全部退还。</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highlight w:val="none"/>
        </w:rPr>
      </w:pPr>
      <w:r>
        <w:rPr>
          <w:rFonts w:hint="eastAsia" w:ascii="黑体" w:hAnsi="黑体" w:eastAsia="黑体" w:cs="黑体"/>
          <w:spacing w:val="0"/>
          <w:kern w:val="2"/>
          <w:sz w:val="32"/>
          <w:szCs w:val="32"/>
          <w:lang w:val="en-US" w:eastAsia="zh-CN" w:bidi="ar-SA"/>
        </w:rPr>
        <w:t>第二十四条</w:t>
      </w:r>
      <w:r>
        <w:rPr>
          <w:rFonts w:hint="eastAsia" w:ascii="宋体" w:hAnsi="宋体" w:eastAsia="仿宋_GB2312" w:cs="仿宋"/>
          <w:sz w:val="32"/>
          <w:szCs w:val="32"/>
          <w:highlight w:val="none"/>
        </w:rPr>
        <w:t>　</w:t>
      </w:r>
      <w:r>
        <w:rPr>
          <w:rFonts w:ascii="宋体" w:hAnsi="宋体" w:eastAsia="仿宋_GB2312" w:cs="仿宋"/>
          <w:sz w:val="32"/>
          <w:szCs w:val="32"/>
          <w:highlight w:val="none"/>
        </w:rPr>
        <w:t>“新三板”、</w:t>
      </w:r>
      <w:r>
        <w:rPr>
          <w:rFonts w:hint="eastAsia" w:ascii="宋体" w:hAnsi="宋体" w:eastAsia="仿宋_GB2312" w:cs="仿宋"/>
          <w:sz w:val="32"/>
          <w:szCs w:val="32"/>
          <w:highlight w:val="none"/>
        </w:rPr>
        <w:t>广东股权交易中心</w:t>
      </w:r>
      <w:r>
        <w:rPr>
          <w:rFonts w:ascii="宋体" w:hAnsi="宋体" w:eastAsia="仿宋_GB2312" w:cs="仿宋"/>
          <w:sz w:val="32"/>
          <w:szCs w:val="32"/>
          <w:highlight w:val="none"/>
        </w:rPr>
        <w:t>的挂牌企业申请融资类奖励的，</w:t>
      </w:r>
      <w:r>
        <w:rPr>
          <w:rFonts w:hint="eastAsia" w:ascii="宋体" w:hAnsi="宋体" w:eastAsia="仿宋_GB2312" w:cs="仿宋"/>
          <w:sz w:val="32"/>
          <w:szCs w:val="32"/>
          <w:highlight w:val="none"/>
          <w:lang w:val="en-US" w:eastAsia="zh-CN"/>
        </w:rPr>
        <w:t>企业年地方贡献</w:t>
      </w:r>
      <w:r>
        <w:rPr>
          <w:rFonts w:hint="eastAsia" w:ascii="宋体" w:hAnsi="宋体" w:eastAsia="仿宋_GB2312" w:cs="仿宋"/>
          <w:sz w:val="32"/>
          <w:szCs w:val="32"/>
          <w:highlight w:val="none"/>
        </w:rPr>
        <w:t>必须达到50万元以上。</w:t>
      </w:r>
      <w:r>
        <w:rPr>
          <w:rFonts w:ascii="宋体" w:hAnsi="宋体" w:eastAsia="仿宋_GB2312" w:cs="仿宋"/>
          <w:sz w:val="32"/>
          <w:szCs w:val="32"/>
          <w:highlight w:val="none"/>
        </w:rPr>
        <w:t>企业获高级别融资奖励者不兼得低级别奖励，如此前已获得低级别奖励的，应抵减已获得的融资奖励再进行奖励。“新三板”挂牌企业融资奖励累计总额以250万元为限，</w:t>
      </w:r>
      <w:r>
        <w:rPr>
          <w:rFonts w:hint="eastAsia" w:ascii="宋体" w:hAnsi="宋体" w:eastAsia="仿宋_GB2312" w:cs="仿宋"/>
          <w:sz w:val="32"/>
          <w:szCs w:val="32"/>
          <w:highlight w:val="none"/>
        </w:rPr>
        <w:t>广东股权交易中心</w:t>
      </w:r>
      <w:r>
        <w:rPr>
          <w:rFonts w:ascii="宋体" w:hAnsi="宋体" w:eastAsia="仿宋_GB2312" w:cs="仿宋"/>
          <w:sz w:val="32"/>
          <w:szCs w:val="32"/>
          <w:highlight w:val="none"/>
        </w:rPr>
        <w:t>挂牌企业融资奖励累计总额以125万元为限。</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highlight w:val="none"/>
        </w:rPr>
      </w:pPr>
      <w:r>
        <w:rPr>
          <w:rFonts w:hint="eastAsia" w:ascii="黑体" w:hAnsi="黑体" w:eastAsia="黑体" w:cs="黑体"/>
          <w:spacing w:val="0"/>
          <w:kern w:val="2"/>
          <w:sz w:val="32"/>
          <w:szCs w:val="32"/>
          <w:highlight w:val="none"/>
          <w:lang w:val="en-US" w:eastAsia="zh-CN" w:bidi="ar-SA"/>
        </w:rPr>
        <w:t>第二十五条</w:t>
      </w:r>
      <w:r>
        <w:rPr>
          <w:rFonts w:hint="eastAsia" w:ascii="宋体" w:hAnsi="宋体" w:eastAsia="仿宋_GB2312" w:cs="仿宋"/>
          <w:sz w:val="32"/>
          <w:szCs w:val="32"/>
          <w:highlight w:val="none"/>
        </w:rPr>
        <w:t>　</w:t>
      </w:r>
      <w:r>
        <w:rPr>
          <w:rFonts w:hint="eastAsia" w:ascii="宋体" w:hAnsi="宋体" w:eastAsia="仿宋_GB2312" w:cs="仿宋"/>
          <w:sz w:val="32"/>
          <w:szCs w:val="32"/>
          <w:highlight w:val="none"/>
          <w:lang w:val="en-US" w:eastAsia="zh-CN"/>
        </w:rPr>
        <w:t>企业不得就同一事项重复申请相关扶持，且</w:t>
      </w:r>
      <w:r>
        <w:rPr>
          <w:rFonts w:hint="eastAsia" w:ascii="宋体" w:hAnsi="宋体" w:eastAsia="仿宋_GB2312" w:cs="仿宋"/>
          <w:sz w:val="32"/>
          <w:szCs w:val="32"/>
          <w:highlight w:val="none"/>
          <w:lang w:eastAsia="zh-CN"/>
        </w:rPr>
        <w:t>不</w:t>
      </w:r>
      <w:r>
        <w:rPr>
          <w:rFonts w:ascii="宋体" w:hAnsi="宋体" w:eastAsia="仿宋_GB2312" w:cs="仿宋"/>
          <w:sz w:val="32"/>
          <w:szCs w:val="32"/>
          <w:highlight w:val="none"/>
        </w:rPr>
        <w:t>得重复申报我区现行其他同类政策。</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cs="仿宋"/>
          <w:sz w:val="32"/>
          <w:szCs w:val="32"/>
          <w:highlight w:val="none"/>
        </w:rPr>
      </w:pPr>
      <w:r>
        <w:rPr>
          <w:rFonts w:hint="eastAsia" w:ascii="黑体" w:hAnsi="黑体" w:eastAsia="黑体" w:cs="黑体"/>
          <w:spacing w:val="0"/>
          <w:kern w:val="2"/>
          <w:sz w:val="32"/>
          <w:szCs w:val="32"/>
          <w:highlight w:val="none"/>
          <w:lang w:val="en-US" w:eastAsia="zh-CN" w:bidi="ar-SA"/>
        </w:rPr>
        <w:t>第二十六条</w:t>
      </w:r>
      <w:r>
        <w:rPr>
          <w:rFonts w:hint="eastAsia" w:ascii="宋体" w:hAnsi="宋体" w:eastAsia="仿宋_GB2312" w:cs="仿宋"/>
          <w:sz w:val="32"/>
          <w:szCs w:val="32"/>
          <w:highlight w:val="none"/>
        </w:rPr>
        <w:t>　奖励或补贴的申请主体，如弄虚作假骗取资金的，一经查实，区</w:t>
      </w:r>
      <w:r>
        <w:rPr>
          <w:rFonts w:hint="eastAsia" w:ascii="宋体" w:hAnsi="宋体" w:eastAsia="仿宋_GB2312" w:cs="仿宋"/>
          <w:sz w:val="32"/>
          <w:szCs w:val="32"/>
          <w:highlight w:val="none"/>
          <w:lang w:val="en-US" w:eastAsia="zh-CN"/>
        </w:rPr>
        <w:t>金融办</w:t>
      </w:r>
      <w:r>
        <w:rPr>
          <w:rFonts w:hint="eastAsia" w:ascii="宋体" w:hAnsi="宋体" w:eastAsia="仿宋_GB2312" w:cs="仿宋"/>
          <w:sz w:val="32"/>
          <w:szCs w:val="32"/>
          <w:highlight w:val="none"/>
        </w:rPr>
        <w:t>报请区政府批准后，有权会同有关部门追回已发放的资金；情节严重构成犯罪的，依法追究法律责任。</w:t>
      </w:r>
    </w:p>
    <w:p>
      <w:pPr>
        <w:pStyle w:val="46"/>
        <w:keepNext w:val="0"/>
        <w:keepLines w:val="0"/>
        <w:pageBreakBefore w:val="0"/>
        <w:widowControl w:val="0"/>
        <w:tabs>
          <w:tab w:val="left" w:pos="4865"/>
          <w:tab w:val="left" w:pos="5625"/>
        </w:tabs>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ascii="宋体" w:hAnsi="宋体" w:eastAsia="仿宋_GB2312" w:cs="仿宋"/>
          <w:sz w:val="32"/>
          <w:szCs w:val="32"/>
          <w:highlight w:val="none"/>
        </w:rPr>
      </w:pPr>
      <w:r>
        <w:rPr>
          <w:rFonts w:hint="eastAsia" w:ascii="黑体" w:hAnsi="黑体" w:eastAsia="黑体" w:cs="黑体"/>
          <w:spacing w:val="0"/>
          <w:kern w:val="2"/>
          <w:sz w:val="32"/>
          <w:szCs w:val="32"/>
          <w:highlight w:val="none"/>
          <w:lang w:val="en-US" w:eastAsia="zh-CN" w:bidi="ar-SA"/>
        </w:rPr>
        <w:t>第二十七条</w:t>
      </w:r>
      <w:r>
        <w:rPr>
          <w:rFonts w:hint="eastAsia" w:ascii="宋体" w:hAnsi="宋体" w:eastAsia="仿宋_GB2312" w:cs="仿宋"/>
          <w:sz w:val="32"/>
          <w:szCs w:val="32"/>
          <w:highlight w:val="none"/>
        </w:rPr>
        <w:t>　</w:t>
      </w:r>
      <w:r>
        <w:rPr>
          <w:rFonts w:ascii="宋体" w:hAnsi="宋体" w:eastAsia="仿宋_GB2312" w:cs="仿宋"/>
          <w:sz w:val="32"/>
          <w:szCs w:val="32"/>
          <w:highlight w:val="none"/>
        </w:rPr>
        <w:t>本办法由</w:t>
      </w:r>
      <w:r>
        <w:rPr>
          <w:rFonts w:hint="eastAsia" w:ascii="宋体" w:hAnsi="宋体" w:eastAsia="仿宋_GB2312" w:cs="仿宋"/>
          <w:sz w:val="32"/>
          <w:szCs w:val="32"/>
          <w:highlight w:val="none"/>
          <w:lang w:eastAsia="zh-CN"/>
        </w:rPr>
        <w:t>区金融办</w:t>
      </w:r>
      <w:r>
        <w:rPr>
          <w:rFonts w:ascii="宋体" w:hAnsi="宋体" w:eastAsia="仿宋_GB2312" w:cs="仿宋"/>
          <w:sz w:val="32"/>
          <w:szCs w:val="32"/>
          <w:highlight w:val="none"/>
        </w:rPr>
        <w:t>负责解释。各镇</w:t>
      </w:r>
      <w:r>
        <w:rPr>
          <w:rFonts w:hint="eastAsia" w:ascii="宋体" w:hAnsi="宋体" w:eastAsia="仿宋_GB2312" w:cs="仿宋"/>
          <w:sz w:val="32"/>
          <w:szCs w:val="32"/>
          <w:highlight w:val="none"/>
        </w:rPr>
        <w:t>（</w:t>
      </w:r>
      <w:r>
        <w:rPr>
          <w:rFonts w:ascii="宋体" w:hAnsi="宋体" w:eastAsia="仿宋_GB2312" w:cs="仿宋"/>
          <w:sz w:val="32"/>
          <w:szCs w:val="32"/>
          <w:highlight w:val="none"/>
        </w:rPr>
        <w:t>街</w:t>
      </w:r>
      <w:r>
        <w:rPr>
          <w:rFonts w:hint="eastAsia" w:ascii="宋体" w:hAnsi="宋体" w:eastAsia="仿宋_GB2312" w:cs="仿宋"/>
          <w:sz w:val="32"/>
          <w:szCs w:val="32"/>
          <w:highlight w:val="none"/>
        </w:rPr>
        <w:t>道）</w:t>
      </w:r>
      <w:r>
        <w:rPr>
          <w:rFonts w:ascii="宋体" w:hAnsi="宋体" w:eastAsia="仿宋_GB2312" w:cs="仿宋"/>
          <w:sz w:val="32"/>
          <w:szCs w:val="32"/>
          <w:highlight w:val="none"/>
        </w:rPr>
        <w:t>结合本办法，自行制定、更新对本镇</w:t>
      </w:r>
      <w:r>
        <w:rPr>
          <w:rFonts w:hint="eastAsia" w:ascii="宋体" w:hAnsi="宋体" w:eastAsia="仿宋_GB2312" w:cs="仿宋"/>
          <w:sz w:val="32"/>
          <w:szCs w:val="32"/>
          <w:highlight w:val="none"/>
        </w:rPr>
        <w:t>（</w:t>
      </w:r>
      <w:r>
        <w:rPr>
          <w:rFonts w:ascii="宋体" w:hAnsi="宋体" w:eastAsia="仿宋_GB2312" w:cs="仿宋"/>
          <w:sz w:val="32"/>
          <w:szCs w:val="32"/>
          <w:highlight w:val="none"/>
        </w:rPr>
        <w:t>街</w:t>
      </w:r>
      <w:r>
        <w:rPr>
          <w:rFonts w:hint="eastAsia" w:ascii="宋体" w:hAnsi="宋体" w:eastAsia="仿宋_GB2312" w:cs="仿宋"/>
          <w:sz w:val="32"/>
          <w:szCs w:val="32"/>
          <w:highlight w:val="none"/>
        </w:rPr>
        <w:t>道）</w:t>
      </w:r>
      <w:r>
        <w:rPr>
          <w:rFonts w:ascii="宋体" w:hAnsi="宋体" w:eastAsia="仿宋_GB2312" w:cs="仿宋"/>
          <w:sz w:val="32"/>
          <w:szCs w:val="32"/>
          <w:highlight w:val="none"/>
        </w:rPr>
        <w:t>企业上市和发展的扶持政策并设立相应的上市工作机构开展企业上市工作。</w:t>
      </w:r>
    </w:p>
    <w:p>
      <w:pPr>
        <w:pStyle w:val="5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32" w:firstLineChars="200"/>
        <w:textAlignment w:val="auto"/>
        <w:outlineLvl w:val="9"/>
        <w:rPr>
          <w:rFonts w:hint="eastAsia" w:ascii="宋体" w:hAnsi="宋体" w:eastAsia="仿宋_GB2312"/>
          <w:highlight w:val="none"/>
        </w:rPr>
      </w:pPr>
      <w:r>
        <w:rPr>
          <w:rFonts w:hint="eastAsia" w:ascii="黑体" w:hAnsi="黑体" w:eastAsia="黑体" w:cs="黑体"/>
          <w:spacing w:val="0"/>
          <w:kern w:val="2"/>
          <w:sz w:val="32"/>
          <w:szCs w:val="32"/>
          <w:highlight w:val="none"/>
          <w:lang w:val="en-US" w:eastAsia="zh-CN" w:bidi="ar-SA"/>
        </w:rPr>
        <w:t>第二十八条</w:t>
      </w:r>
      <w:r>
        <w:rPr>
          <w:rFonts w:hint="eastAsia" w:ascii="宋体" w:hAnsi="宋体" w:eastAsia="仿宋_GB2312" w:cs="黑体"/>
          <w:spacing w:val="-7"/>
          <w:sz w:val="32"/>
          <w:szCs w:val="32"/>
          <w:highlight w:val="none"/>
        </w:rPr>
        <w:t xml:space="preserve"> </w:t>
      </w:r>
      <w:r>
        <w:rPr>
          <w:rFonts w:hint="eastAsia" w:ascii="宋体" w:hAnsi="宋体" w:eastAsia="仿宋_GB2312" w:cs="黑体"/>
          <w:spacing w:val="-7"/>
          <w:sz w:val="32"/>
          <w:szCs w:val="32"/>
          <w:highlight w:val="none"/>
          <w:lang w:val="en-US" w:eastAsia="zh-CN"/>
        </w:rPr>
        <w:t xml:space="preserve"> </w:t>
      </w:r>
      <w:r>
        <w:rPr>
          <w:rFonts w:hint="eastAsia" w:ascii="宋体" w:hAnsi="宋体" w:eastAsia="仿宋_GB2312" w:cs="黑体"/>
          <w:spacing w:val="-7"/>
          <w:sz w:val="32"/>
          <w:szCs w:val="32"/>
          <w:highlight w:val="none"/>
        </w:rPr>
        <w:t>本办法自</w:t>
      </w:r>
      <w:r>
        <w:rPr>
          <w:rFonts w:hint="eastAsia" w:ascii="宋体" w:hAnsi="宋体" w:eastAsia="仿宋_GB2312" w:cs="黑体"/>
          <w:color w:val="auto"/>
          <w:spacing w:val="-7"/>
          <w:sz w:val="32"/>
          <w:szCs w:val="32"/>
          <w:highlight w:val="none"/>
          <w:lang w:val="en-US" w:eastAsia="zh-CN"/>
        </w:rPr>
        <w:t>2022年2月2</w:t>
      </w:r>
      <w:r>
        <w:rPr>
          <w:rFonts w:hint="eastAsia" w:ascii="宋体" w:hAnsi="宋体" w:eastAsia="仿宋_GB2312" w:cs="黑体"/>
          <w:color w:val="auto"/>
          <w:spacing w:val="-7"/>
          <w:sz w:val="32"/>
          <w:szCs w:val="32"/>
          <w:highlight w:val="none"/>
        </w:rPr>
        <w:t>日</w:t>
      </w:r>
      <w:r>
        <w:rPr>
          <w:rFonts w:hint="eastAsia" w:ascii="宋体" w:hAnsi="宋体" w:eastAsia="仿宋_GB2312" w:cs="黑体"/>
          <w:spacing w:val="-7"/>
          <w:sz w:val="32"/>
          <w:szCs w:val="32"/>
          <w:highlight w:val="none"/>
        </w:rPr>
        <w:t>起执行，有效期三年。有效期内达到奖励条件并成功申请奖励认定的，依照本办法继续执行，直至奖励结束为止。</w:t>
      </w:r>
    </w:p>
    <w:p>
      <w:pPr>
        <w:pStyle w:val="4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pStyle w:val="4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pStyle w:val="4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pStyle w:val="4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pStyle w:val="4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pStyle w:val="4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pStyle w:val="4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pStyle w:val="4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p>
      <w:pPr>
        <w:pStyle w:val="41"/>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bookmarkStart w:id="1" w:name="_GoBack"/>
      <w:bookmarkEnd w:id="1"/>
    </w:p>
    <w:sectPr>
      <w:headerReference r:id="rId3" w:type="default"/>
      <w:footerReference r:id="rId4" w:type="default"/>
      <w:footnotePr>
        <w:numFmt w:val="decimalEnclosedCircleChinese"/>
      </w:footnotePr>
      <w:pgSz w:w="11906" w:h="16838"/>
      <w:pgMar w:top="2098" w:right="1474" w:bottom="1984" w:left="1587" w:header="850" w:footer="1361" w:gutter="0"/>
      <w:paperSrc/>
      <w:pgBorders>
        <w:top w:val="none" w:sz="0" w:space="0"/>
        <w:left w:val="none" w:sz="0" w:space="0"/>
        <w:bottom w:val="none" w:sz="0" w:space="0"/>
        <w:right w:val="none" w:sz="0" w:space="0"/>
      </w:pgBorders>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ourier New">
    <w:altName w:val="DejaVu Sans"/>
    <w:panose1 w:val="02070309020205020404"/>
    <w:charset w:val="00"/>
    <w:family w:val="modern"/>
    <w:pitch w:val="default"/>
    <w:sig w:usb0="E0002AFF" w:usb1="C0007843" w:usb2="00000009" w:usb3="00000000" w:csb0="400001FF" w:csb1="FFFF0000"/>
  </w:font>
  <w:font w:name="仿宋">
    <w:altName w:val="方正仿宋_GBK"/>
    <w:panose1 w:val="02010609060101010101"/>
    <w:charset w:val="00"/>
    <w:family w:val="auto"/>
    <w:pitch w:val="default"/>
    <w:sig w:usb0="800002BF" w:usb1="38CF7CFA" w:usb2="00000016" w:usb3="00000000" w:csb0="00040001" w:csb1="00000000"/>
  </w:font>
  <w:font w:name="Arial">
    <w:altName w:val="DejaVu Sans"/>
    <w:panose1 w:val="020B0604020202020204"/>
    <w:charset w:val="00"/>
    <w:family w:val="swiss"/>
    <w:pitch w:val="default"/>
    <w:sig w:usb0="E0002AFF" w:usb1="C0007843" w:usb2="00000009" w:usb3="00000000" w:csb0="400001FF" w:csb1="FFFF0000"/>
  </w:font>
  <w:font w:name="等线">
    <w:altName w:val="汉仪仿宋S"/>
    <w:panose1 w:val="00000000000000000000"/>
    <w:charset w:val="00"/>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160" w:leftChars="50" w:right="160" w:rightChars="5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3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ql5uc8AAAAFAQAADwAAAAAAAAABACAAAAA4AAAAZHJzL2Rvd25yZXYueG1sUEsBAhQAFAAAAAgA&#10;h07iQEMDCiffAQAAvwMAAA4AAAAAAAAAAQAgAAAANAEAAGRycy9lMm9Eb2MueG1sUEsFBgAAAAAG&#10;AAYAWQEAAI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160" w:leftChars="50" w:right="160" w:rightChars="5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footnotePr>
    <w:numFmt w:val="decimalEnclosedCircleChinese"/>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95F96"/>
    <w:rsid w:val="00944B2C"/>
    <w:rsid w:val="01532819"/>
    <w:rsid w:val="017802D5"/>
    <w:rsid w:val="06295F96"/>
    <w:rsid w:val="08986D52"/>
    <w:rsid w:val="0AEB5AC2"/>
    <w:rsid w:val="0BA152E5"/>
    <w:rsid w:val="0CC04265"/>
    <w:rsid w:val="0CFD1EBF"/>
    <w:rsid w:val="0D50267E"/>
    <w:rsid w:val="10DF4DDF"/>
    <w:rsid w:val="12FC0536"/>
    <w:rsid w:val="13546E09"/>
    <w:rsid w:val="16E95283"/>
    <w:rsid w:val="193F00F0"/>
    <w:rsid w:val="1994318B"/>
    <w:rsid w:val="1A7E7621"/>
    <w:rsid w:val="1A8F51AE"/>
    <w:rsid w:val="1B88639D"/>
    <w:rsid w:val="1C6A2FD8"/>
    <w:rsid w:val="1FE12BA8"/>
    <w:rsid w:val="20B03E12"/>
    <w:rsid w:val="21CD0F48"/>
    <w:rsid w:val="25CA4152"/>
    <w:rsid w:val="27D22211"/>
    <w:rsid w:val="28AA72B2"/>
    <w:rsid w:val="28C53BDE"/>
    <w:rsid w:val="299525EF"/>
    <w:rsid w:val="2C061CAB"/>
    <w:rsid w:val="2FD964D4"/>
    <w:rsid w:val="338F7DCE"/>
    <w:rsid w:val="37164CDC"/>
    <w:rsid w:val="3C0554FF"/>
    <w:rsid w:val="3C144DC5"/>
    <w:rsid w:val="3F24026D"/>
    <w:rsid w:val="4146519A"/>
    <w:rsid w:val="419F528E"/>
    <w:rsid w:val="41D053A7"/>
    <w:rsid w:val="420E47B1"/>
    <w:rsid w:val="42320D29"/>
    <w:rsid w:val="43226127"/>
    <w:rsid w:val="472846A3"/>
    <w:rsid w:val="4DD13882"/>
    <w:rsid w:val="4F4A03B7"/>
    <w:rsid w:val="4FE67D72"/>
    <w:rsid w:val="507E4476"/>
    <w:rsid w:val="50D03852"/>
    <w:rsid w:val="53657E37"/>
    <w:rsid w:val="55F26CB8"/>
    <w:rsid w:val="57320F59"/>
    <w:rsid w:val="57C129D4"/>
    <w:rsid w:val="59226C02"/>
    <w:rsid w:val="5AEA12B0"/>
    <w:rsid w:val="5E7E5275"/>
    <w:rsid w:val="64767CD9"/>
    <w:rsid w:val="6684448E"/>
    <w:rsid w:val="69865316"/>
    <w:rsid w:val="6D573299"/>
    <w:rsid w:val="6EAD2167"/>
    <w:rsid w:val="6FE57556"/>
    <w:rsid w:val="747F14CD"/>
    <w:rsid w:val="74E2394B"/>
    <w:rsid w:val="750B0531"/>
    <w:rsid w:val="76473661"/>
    <w:rsid w:val="76FA57AB"/>
    <w:rsid w:val="78714AB3"/>
    <w:rsid w:val="79A67A9A"/>
    <w:rsid w:val="7F6F3319"/>
    <w:rsid w:val="FADB48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kern w:val="2"/>
      <w:sz w:val="32"/>
      <w:szCs w:val="32"/>
      <w:lang w:val="en-US" w:eastAsia="zh-CN"/>
    </w:rPr>
  </w:style>
  <w:style w:type="paragraph" w:styleId="3">
    <w:name w:val="heading 1"/>
    <w:basedOn w:val="1"/>
    <w:next w:val="1"/>
    <w:qFormat/>
    <w:uiPriority w:val="0"/>
    <w:pPr>
      <w:keepNext/>
      <w:keepLines/>
      <w:spacing w:before="0" w:after="0"/>
      <w:outlineLvl w:val="0"/>
    </w:pPr>
    <w:rPr>
      <w:rFonts w:eastAsia="方正小标宋简体"/>
      <w:kern w:val="44"/>
      <w:sz w:val="44"/>
      <w:szCs w:val="44"/>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2">
    <w:name w:val="heading 3"/>
    <w:basedOn w:val="1"/>
    <w:next w:val="1"/>
    <w:unhideWhenUsed/>
    <w:qFormat/>
    <w:uiPriority w:val="0"/>
    <w:pPr>
      <w:spacing w:before="0" w:beforeLines="0" w:after="0" w:afterLines="0" w:line="240" w:lineRule="auto"/>
      <w:ind w:firstLine="200" w:firstLineChars="200"/>
      <w:outlineLvl w:val="2"/>
    </w:pPr>
    <w:rPr>
      <w:rFonts w:ascii="Times New Roman" w:hAnsi="Times New Roman" w:eastAsia="仿宋_GB2312"/>
      <w:sz w:val="32"/>
      <w:szCs w:val="32"/>
    </w:rPr>
  </w:style>
  <w:style w:type="character" w:default="1" w:styleId="16">
    <w:name w:val="Default Paragraph Font"/>
    <w:link w:val="17"/>
    <w:semiHidden/>
    <w:uiPriority w:val="0"/>
    <w:rPr>
      <w:sz w:val="28"/>
      <w:szCs w:val="20"/>
    </w:rPr>
  </w:style>
  <w:style w:type="table" w:default="1" w:styleId="14">
    <w:name w:val="Normal Table"/>
    <w:semiHidden/>
    <w:uiPriority w:val="0"/>
    <w:tblPr>
      <w:tblStyle w:val="14"/>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next w:val="7"/>
    <w:uiPriority w:val="0"/>
    <w:rPr>
      <w:rFonts w:ascii="宋体" w:hAnsi="宋体" w:cs="宋体"/>
      <w:sz w:val="32"/>
      <w:szCs w:val="32"/>
      <w:lang w:val="zh-CN" w:bidi="zh-CN"/>
    </w:rPr>
  </w:style>
  <w:style w:type="paragraph" w:styleId="7">
    <w:name w:val="Title"/>
    <w:basedOn w:val="1"/>
    <w:next w:val="1"/>
    <w:qFormat/>
    <w:uiPriority w:val="0"/>
    <w:pPr>
      <w:jc w:val="center"/>
      <w:outlineLvl w:val="0"/>
    </w:pPr>
    <w:rPr>
      <w:rFonts w:hint="eastAsia" w:ascii="Times New Roman" w:hAnsi="Times New Roman" w:eastAsia="仿宋_GB2312" w:cs="Times New Roman"/>
      <w:sz w:val="44"/>
      <w:szCs w:val="24"/>
      <w:lang w:bidi="ar-SA"/>
    </w:rPr>
  </w:style>
  <w:style w:type="paragraph" w:styleId="8">
    <w:name w:val="Plain Text"/>
    <w:basedOn w:val="1"/>
    <w:uiPriority w:val="0"/>
    <w:pPr>
      <w:widowControl w:val="0"/>
      <w:overflowPunct/>
      <w:autoSpaceDE/>
      <w:autoSpaceDN/>
      <w:adjustRightInd/>
      <w:textAlignment w:val="auto"/>
    </w:pPr>
    <w:rPr>
      <w:rFonts w:ascii="宋体" w:hAnsi="Courier New" w:cs="Courier New"/>
      <w:kern w:val="2"/>
      <w:szCs w:val="21"/>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uiPriority w:val="0"/>
    <w:pPr>
      <w:snapToGrid w:val="0"/>
      <w:jc w:val="left"/>
    </w:pPr>
    <w:rPr>
      <w:sz w:val="18"/>
    </w:rPr>
  </w:style>
  <w:style w:type="paragraph" w:styleId="12">
    <w:name w:val="toc 2"/>
    <w:basedOn w:val="1"/>
    <w:next w:val="1"/>
    <w:uiPriority w:val="0"/>
    <w:pPr>
      <w:ind w:left="420" w:leftChars="200"/>
    </w:pPr>
  </w:style>
  <w:style w:type="paragraph" w:styleId="13">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
    <w:basedOn w:val="18"/>
    <w:link w:val="16"/>
    <w:qFormat/>
    <w:uiPriority w:val="0"/>
    <w:pPr>
      <w:widowControl/>
      <w:spacing w:after="160" w:line="240" w:lineRule="exact"/>
      <w:jc w:val="left"/>
    </w:pPr>
    <w:rPr>
      <w:sz w:val="28"/>
      <w:szCs w:val="20"/>
    </w:rPr>
  </w:style>
  <w:style w:type="paragraph" w:customStyle="1" w:styleId="18">
    <w:name w:val="正文 New New"/>
    <w:qFormat/>
    <w:uiPriority w:val="0"/>
    <w:pPr>
      <w:widowControl w:val="0"/>
      <w:jc w:val="both"/>
    </w:pPr>
    <w:rPr>
      <w:rFonts w:eastAsia="仿宋"/>
      <w:kern w:val="2"/>
      <w:sz w:val="32"/>
      <w:szCs w:val="32"/>
      <w:lang w:val="en-US" w:eastAsia="zh-CN" w:bidi="ar-SA"/>
    </w:rPr>
  </w:style>
  <w:style w:type="character" w:styleId="19">
    <w:name w:val="page number"/>
    <w:basedOn w:val="16"/>
    <w:uiPriority w:val="0"/>
  </w:style>
  <w:style w:type="character" w:styleId="20">
    <w:name w:val="Hyperlink"/>
    <w:basedOn w:val="16"/>
    <w:uiPriority w:val="0"/>
    <w:rPr>
      <w:rFonts w:eastAsia="宋体"/>
      <w:color w:val="0000FF"/>
      <w:sz w:val="21"/>
      <w:szCs w:val="20"/>
      <w:u w:val="single"/>
    </w:rPr>
  </w:style>
  <w:style w:type="character" w:styleId="21">
    <w:name w:val="footnote reference"/>
    <w:basedOn w:val="16"/>
    <w:uiPriority w:val="0"/>
    <w:rPr>
      <w:vertAlign w:val="superscript"/>
    </w:rPr>
  </w:style>
  <w:style w:type="character" w:customStyle="1" w:styleId="22">
    <w:name w:val="NormalCharacter"/>
    <w:link w:val="23"/>
    <w:qFormat/>
    <w:uiPriority w:val="0"/>
  </w:style>
  <w:style w:type="paragraph" w:customStyle="1" w:styleId="23">
    <w:name w:val="UserStyle_1"/>
    <w:basedOn w:val="1"/>
    <w:link w:val="22"/>
    <w:qFormat/>
    <w:uiPriority w:val="0"/>
    <w:pPr>
      <w:spacing w:after="160" w:line="240" w:lineRule="exact"/>
      <w:jc w:val="left"/>
    </w:pPr>
  </w:style>
  <w:style w:type="paragraph" w:customStyle="1" w:styleId="24">
    <w:name w:val="标题 3 New New"/>
    <w:basedOn w:val="25"/>
    <w:next w:val="25"/>
    <w:qFormat/>
    <w:uiPriority w:val="0"/>
    <w:pPr>
      <w:spacing w:before="104" w:after="104"/>
      <w:outlineLvl w:val="2"/>
    </w:pPr>
  </w:style>
  <w:style w:type="paragraph" w:customStyle="1" w:styleId="25">
    <w:name w:val="正文 New New New New"/>
    <w:next w:val="24"/>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26">
    <w:name w:val="标题 4 New"/>
    <w:basedOn w:val="27"/>
    <w:next w:val="27"/>
    <w:qFormat/>
    <w:uiPriority w:val="0"/>
    <w:pPr>
      <w:keepNext/>
      <w:keepLines/>
      <w:spacing w:before="280" w:beforeLines="0" w:after="290" w:afterLines="0" w:line="376" w:lineRule="auto"/>
      <w:outlineLvl w:val="3"/>
    </w:pPr>
    <w:rPr>
      <w:rFonts w:ascii="Arial" w:hAnsi="Arial" w:eastAsia="黑体"/>
      <w:b/>
      <w:bCs/>
      <w:sz w:val="28"/>
      <w:szCs w:val="28"/>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2"/>
      <w:lang w:val="en-US" w:eastAsia="zh-CN" w:bidi="ar-SA"/>
    </w:rPr>
  </w:style>
  <w:style w:type="paragraph" w:customStyle="1" w:styleId="2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等线" w:hAnsi="等线" w:eastAsia="等线" w:cs="Times New Roman"/>
      <w:kern w:val="2"/>
      <w:sz w:val="21"/>
      <w:szCs w:val="24"/>
      <w:lang w:val="en-US" w:eastAsia="zh-CN" w:bidi="ar-SA"/>
    </w:rPr>
  </w:style>
  <w:style w:type="paragraph" w:customStyle="1" w:styleId="31">
    <w:name w:val="正文 New New New New New New New New New"/>
    <w:next w:val="32"/>
    <w:qFormat/>
    <w:uiPriority w:val="0"/>
    <w:pPr>
      <w:widowControl w:val="0"/>
      <w:jc w:val="both"/>
    </w:pPr>
    <w:rPr>
      <w:rFonts w:ascii="宋体" w:hAnsi="宋体" w:eastAsia="仿宋" w:cs="Times New Roman"/>
      <w:kern w:val="2"/>
      <w:sz w:val="32"/>
      <w:szCs w:val="24"/>
      <w:lang w:val="en-US" w:eastAsia="zh-CN" w:bidi="ar-SA"/>
    </w:rPr>
  </w:style>
  <w:style w:type="paragraph" w:customStyle="1" w:styleId="32">
    <w:name w:val="标题 3 New"/>
    <w:basedOn w:val="33"/>
    <w:next w:val="33"/>
    <w:qFormat/>
    <w:uiPriority w:val="0"/>
    <w:pPr>
      <w:spacing w:before="104" w:beforeLines="0" w:after="104" w:afterLines="0"/>
      <w:outlineLvl w:val="2"/>
    </w:pPr>
  </w:style>
  <w:style w:type="paragraph" w:customStyle="1" w:styleId="33">
    <w:name w:val="正文 New"/>
    <w:next w:val="32"/>
    <w:qFormat/>
    <w:uiPriority w:val="0"/>
    <w:pPr>
      <w:widowControl w:val="0"/>
      <w:jc w:val="both"/>
    </w:pPr>
    <w:rPr>
      <w:rFonts w:ascii="宋体" w:hAnsi="宋体" w:eastAsia="仿宋"/>
      <w:kern w:val="2"/>
      <w:sz w:val="32"/>
      <w:szCs w:val="24"/>
      <w:lang w:val="en-US" w:eastAsia="zh-CN" w:bidi="ar-SA"/>
    </w:rPr>
  </w:style>
  <w:style w:type="paragraph" w:customStyle="1" w:styleId="34">
    <w:name w:val="正文 New New New New New New New New New New New New New New New New New New New New New New New New New New New New New New"/>
    <w:next w:val="24"/>
    <w:qFormat/>
    <w:uiPriority w:val="0"/>
    <w:pPr>
      <w:widowControl w:val="0"/>
      <w:jc w:val="both"/>
    </w:pPr>
    <w:rPr>
      <w:rFonts w:ascii="Calibri" w:hAnsi="Calibri" w:eastAsia="仿宋" w:cs="Times New Roman"/>
      <w:kern w:val="2"/>
      <w:sz w:val="32"/>
      <w:szCs w:val="32"/>
      <w:lang w:val="en-US" w:eastAsia="zh-CN" w:bidi="ar-SA"/>
    </w:rPr>
  </w:style>
  <w:style w:type="paragraph" w:customStyle="1" w:styleId="35">
    <w:name w:val="正文文本缩进 New"/>
    <w:basedOn w:val="18"/>
    <w:qFormat/>
    <w:uiPriority w:val="0"/>
    <w:pPr>
      <w:spacing w:after="120" w:afterLines="0"/>
      <w:ind w:left="420" w:leftChars="200"/>
    </w:pPr>
  </w:style>
  <w:style w:type="paragraph" w:customStyle="1" w:styleId="36">
    <w:name w:val="Heading3"/>
    <w:basedOn w:val="1"/>
    <w:next w:val="1"/>
    <w:qFormat/>
    <w:uiPriority w:val="0"/>
    <w:pPr>
      <w:keepNext/>
      <w:keepLines/>
      <w:spacing w:before="260" w:after="260" w:line="416" w:lineRule="auto"/>
      <w:textAlignment w:val="baseline"/>
    </w:pPr>
    <w:rPr>
      <w:rFonts w:cs="黑体"/>
      <w:b/>
      <w:bCs/>
      <w:sz w:val="32"/>
      <w:szCs w:val="32"/>
    </w:rPr>
  </w:style>
  <w:style w:type="paragraph" w:customStyle="1" w:styleId="37">
    <w:name w:val="标题 1 New New"/>
    <w:basedOn w:val="38"/>
    <w:next w:val="27"/>
    <w:qFormat/>
    <w:uiPriority w:val="0"/>
    <w:pPr>
      <w:keepNext/>
      <w:keepLines/>
      <w:spacing w:before="0" w:beforeLines="0" w:after="0" w:afterLines="0"/>
    </w:pPr>
    <w:rPr>
      <w:rFonts w:eastAsia="方正小标宋简体"/>
      <w:b w:val="0"/>
      <w:bCs w:val="0"/>
      <w:kern w:val="44"/>
      <w:sz w:val="44"/>
      <w:szCs w:val="44"/>
    </w:rPr>
  </w:style>
  <w:style w:type="paragraph" w:customStyle="1" w:styleId="38">
    <w:name w:val="标题 New New"/>
    <w:basedOn w:val="27"/>
    <w:qFormat/>
    <w:uiPriority w:val="0"/>
    <w:pPr>
      <w:spacing w:before="240" w:beforeLines="0" w:after="60" w:afterLines="0"/>
      <w:jc w:val="center"/>
      <w:outlineLvl w:val="0"/>
    </w:pPr>
    <w:rPr>
      <w:rFonts w:ascii="Arial" w:hAnsi="Arial" w:eastAsia="宋体" w:cs="Arial"/>
      <w:b/>
      <w:bCs/>
      <w:szCs w:val="32"/>
    </w:rPr>
  </w:style>
  <w:style w:type="paragraph" w:customStyle="1" w:styleId="39">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仿宋_GB2312" w:hAnsi="仿宋_GB2312" w:eastAsia="仿宋_GB2312"/>
      <w:kern w:val="2"/>
      <w:sz w:val="32"/>
      <w:szCs w:val="32"/>
      <w:lang w:val="en-US" w:eastAsia="zh-CN"/>
    </w:rPr>
  </w:style>
  <w:style w:type="paragraph" w:customStyle="1" w:styleId="41">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eastAsia="宋体"/>
      <w:kern w:val="2"/>
      <w:sz w:val="21"/>
      <w:szCs w:val="22"/>
      <w:lang w:val="en-US" w:eastAsia="zh-CN" w:bidi="ar-SA"/>
    </w:rPr>
  </w:style>
  <w:style w:type="paragraph" w:customStyle="1" w:styleId="43">
    <w:name w:val="正文文本缩进 New New"/>
    <w:basedOn w:val="42"/>
    <w:qFormat/>
    <w:uiPriority w:val="0"/>
    <w:pPr>
      <w:ind w:firstLine="630"/>
    </w:pPr>
    <w:rPr>
      <w:rFonts w:ascii="仿宋_GB2312" w:eastAsia="仿宋_GB2312"/>
      <w:sz w:val="32"/>
    </w:rPr>
  </w:style>
  <w:style w:type="paragraph" w:customStyle="1" w:styleId="44">
    <w:name w:val="页眉 New"/>
    <w:basedOn w:val="3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方正小标宋简体"/>
      <w:sz w:val="18"/>
      <w:szCs w:val="44"/>
    </w:rPr>
  </w:style>
  <w:style w:type="paragraph" w:customStyle="1" w:styleId="45">
    <w:name w:val="页脚 New New New New New New"/>
    <w:basedOn w:val="46"/>
    <w:qFormat/>
    <w:uiPriority w:val="0"/>
    <w:pPr>
      <w:tabs>
        <w:tab w:val="center" w:pos="4153"/>
        <w:tab w:val="right" w:pos="8306"/>
      </w:tabs>
      <w:snapToGrid w:val="0"/>
      <w:jc w:val="left"/>
    </w:pPr>
    <w:rPr>
      <w:sz w:val="18"/>
      <w:szCs w:val="18"/>
    </w:rPr>
  </w:style>
  <w:style w:type="paragraph" w:customStyle="1" w:styleId="46">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正文 New New New New New New New New New New New New New New New New New New"/>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48">
    <w:name w:val="列出段落1"/>
    <w:basedOn w:val="1"/>
    <w:qFormat/>
    <w:uiPriority w:val="0"/>
    <w:pPr>
      <w:ind w:firstLine="420" w:firstLineChars="200"/>
    </w:pPr>
    <w:rPr>
      <w:rFonts w:ascii="Calibri" w:hAnsi="Calibri" w:eastAsia="宋体" w:cs="Times New Roman"/>
    </w:rPr>
  </w:style>
  <w:style w:type="paragraph" w:customStyle="1" w:styleId="49">
    <w:name w:val="页脚 New New New New New New New New New New New New New New New New New New New New New New New New New New New New New New New New New"/>
    <w:basedOn w:val="28"/>
    <w:uiPriority w:val="0"/>
    <w:pPr>
      <w:tabs>
        <w:tab w:val="center" w:pos="4153"/>
        <w:tab w:val="right" w:pos="8306"/>
      </w:tabs>
      <w:snapToGrid w:val="0"/>
      <w:jc w:val="left"/>
    </w:pPr>
    <w:rPr>
      <w:sz w:val="18"/>
      <w:szCs w:val="18"/>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List Paragraph"/>
    <w:basedOn w:val="1"/>
    <w:uiPriority w:val="0"/>
    <w:pPr>
      <w:ind w:firstLine="420" w:firstLineChars="200"/>
    </w:pPr>
  </w:style>
  <w:style w:type="paragraph" w:customStyle="1" w:styleId="52">
    <w:name w:val="标题 2 New"/>
    <w:basedOn w:val="32"/>
    <w:next w:val="27"/>
    <w:qFormat/>
    <w:uiPriority w:val="0"/>
    <w:pPr>
      <w:outlineLvl w:val="1"/>
    </w:pPr>
    <w:rPr>
      <w:rFonts w:eastAsia="黑体"/>
      <w:bCs/>
    </w:rPr>
  </w:style>
  <w:style w:type="paragraph" w:customStyle="1" w:styleId="53">
    <w:name w:val="正文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54">
    <w:name w:val="正文 New New New New New New New New New New New New New New New New New New New New New New New New New New New New"/>
    <w:next w:val="32"/>
    <w:qFormat/>
    <w:uiPriority w:val="0"/>
    <w:pPr>
      <w:widowControl w:val="0"/>
      <w:jc w:val="both"/>
    </w:pPr>
    <w:rPr>
      <w:rFonts w:ascii="Calibri" w:hAnsi="Calibri" w:eastAsia="仿宋"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区政府</Company>
  <Pages>16</Pages>
  <Words>5384</Words>
  <Characters>5520</Characters>
  <Lines>0</Lines>
  <Paragraphs>0</Paragraphs>
  <TotalTime>5</TotalTime>
  <ScaleCrop>false</ScaleCrop>
  <LinksUpToDate>false</LinksUpToDate>
  <CharactersWithSpaces>5632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2020-03-01T07:20:00Z</dcterms:created>
  <dc:creator>黄钰媚</dc:creator>
  <cp:lastModifiedBy>龙娟</cp:lastModifiedBy>
  <cp:lastPrinted>2022-05-10T03:18:46Z</cp:lastPrinted>
  <dcterms:modified xsi:type="dcterms:W3CDTF">2022-05-13T09:25:21Z</dcterms:modified>
  <dc:title>主动公开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