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Arial" w:hAnsi="Arial" w:cs="Arial"/>
          <w:i w:val="0"/>
          <w:iCs w:val="0"/>
          <w:caps w:val="0"/>
          <w:color w:val="484747"/>
          <w:spacing w:val="0"/>
          <w:sz w:val="24"/>
          <w:szCs w:val="24"/>
        </w:rPr>
      </w:pPr>
      <w:bookmarkStart w:id="0" w:name="_GoBack"/>
      <w:r>
        <w:rPr>
          <w:rStyle w:val="5"/>
          <w:rFonts w:hint="default" w:ascii="Arial" w:hAnsi="Arial" w:cs="Arial"/>
          <w:i w:val="0"/>
          <w:iCs w:val="0"/>
          <w:caps w:val="0"/>
          <w:color w:val="484747"/>
          <w:spacing w:val="0"/>
          <w:sz w:val="36"/>
          <w:szCs w:val="36"/>
          <w:bdr w:val="none" w:color="auto" w:sz="0" w:space="0"/>
        </w:rPr>
        <w:t>佛山市小微工业企业上规模奖励专项资金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36"/>
          <w:szCs w:val="36"/>
          <w:bdr w:val="none" w:color="auto" w:sz="0" w:space="0"/>
        </w:rPr>
        <w:t>管理办法</w:t>
      </w:r>
      <w:bookmarkEnd w:id="0"/>
      <w:r>
        <w:rPr>
          <w:rStyle w:val="5"/>
          <w:rFonts w:hint="default" w:ascii="Arial" w:hAnsi="Arial" w:cs="Arial"/>
          <w:i w:val="0"/>
          <w:iCs w:val="0"/>
          <w:caps w:val="0"/>
          <w:color w:val="484747"/>
          <w:spacing w:val="0"/>
          <w:sz w:val="36"/>
          <w:szCs w:val="36"/>
          <w:bdr w:val="none" w:color="auto" w:sz="0" w:space="0"/>
        </w:rPr>
        <w:t>（2020-2022年）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第一条</w:t>
      </w:r>
      <w:r>
        <w:rPr>
          <w:rFonts w:hint="default" w:ascii="Arial" w:hAnsi="Arial" w:cs="Arial"/>
          <w:i w:val="0"/>
          <w:iCs w:val="0"/>
          <w:caps w:val="0"/>
          <w:color w:val="484747"/>
          <w:spacing w:val="0"/>
          <w:sz w:val="24"/>
          <w:szCs w:val="24"/>
          <w:bdr w:val="none" w:color="auto" w:sz="0" w:space="0"/>
        </w:rPr>
        <w:t>  为规范对佛山市小微工业企业上规模奖励专项资金的管理，提高资金使用效益，根据有关规定，制定本办法。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第二条</w:t>
      </w:r>
      <w:r>
        <w:rPr>
          <w:rFonts w:hint="default" w:ascii="Arial" w:hAnsi="Arial" w:cs="Arial"/>
          <w:i w:val="0"/>
          <w:iCs w:val="0"/>
          <w:caps w:val="0"/>
          <w:color w:val="484747"/>
          <w:spacing w:val="0"/>
          <w:sz w:val="24"/>
          <w:szCs w:val="24"/>
          <w:bdr w:val="none" w:color="auto" w:sz="0" w:space="0"/>
        </w:rPr>
        <w:t>  本办法所称佛山市小微工业企业上规模奖励专项资金（以下简称专项资金），是指由市级财政预算安排的，旨在促进我市工业企业高质量发展，用于支持佛山市小微工业企业上规模的专项资金。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第三条</w:t>
      </w:r>
      <w:r>
        <w:rPr>
          <w:rFonts w:hint="default" w:ascii="Arial" w:hAnsi="Arial" w:cs="Arial"/>
          <w:i w:val="0"/>
          <w:iCs w:val="0"/>
          <w:caps w:val="0"/>
          <w:color w:val="484747"/>
          <w:spacing w:val="0"/>
          <w:sz w:val="24"/>
          <w:szCs w:val="24"/>
          <w:bdr w:val="none" w:color="auto" w:sz="0" w:space="0"/>
        </w:rPr>
        <w:t>  专项资金的使用和管理遵循公开透明、公正合理、突出重点、规范高效、加强监督的原则。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第四条</w:t>
      </w:r>
      <w:r>
        <w:rPr>
          <w:rFonts w:hint="default" w:ascii="Arial" w:hAnsi="Arial" w:cs="Arial"/>
          <w:i w:val="0"/>
          <w:iCs w:val="0"/>
          <w:caps w:val="0"/>
          <w:color w:val="484747"/>
          <w:spacing w:val="0"/>
          <w:sz w:val="24"/>
          <w:szCs w:val="24"/>
          <w:bdr w:val="none" w:color="auto" w:sz="0" w:space="0"/>
        </w:rPr>
        <w:t>  专项资金由市、区两级工业和信息化主管部门，市财政局共同管理，分别履行相应管理职责，资金使用单位按规定申报使用专项资金。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市工业和信息化部门是专项资金的主管部门，负责编制并执行专项资金年度预算，监督专项资金的使用并确保实现绩效目标，对专项资金执行情况承担指导和监管作用，公开专项资金信息等。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市财政部门负责审核并批复专项资金的年度预算，办理资金下达和拨付，组织开展资金的监督检查和绩效管理等。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各区工业和信息化部门配合做好本地区所属工业法人单位专项资金的项目审核、监督及绩效评价等工作，接受市级监督和绩效评价。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第二章   支持对象和补贴标准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第五条</w:t>
      </w:r>
      <w:r>
        <w:rPr>
          <w:rFonts w:hint="default" w:ascii="Arial" w:hAnsi="Arial" w:cs="Arial"/>
          <w:i w:val="0"/>
          <w:iCs w:val="0"/>
          <w:caps w:val="0"/>
          <w:color w:val="484747"/>
          <w:spacing w:val="0"/>
          <w:sz w:val="24"/>
          <w:szCs w:val="24"/>
          <w:bdr w:val="none" w:color="auto" w:sz="0" w:space="0"/>
        </w:rPr>
        <w:t>  本办法的支持对象为2020-2022年期间首次进入国家统计联网直报平台的规上工业法人单位，包括符合条件的汽车整车制造行业产业活动单位和规模以上工业个体经营户。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第六条</w:t>
      </w:r>
      <w:r>
        <w:rPr>
          <w:rFonts w:hint="default" w:ascii="Arial" w:hAnsi="Arial" w:cs="Arial"/>
          <w:i w:val="0"/>
          <w:iCs w:val="0"/>
          <w:caps w:val="0"/>
          <w:color w:val="484747"/>
          <w:spacing w:val="0"/>
          <w:sz w:val="24"/>
          <w:szCs w:val="24"/>
          <w:bdr w:val="none" w:color="auto" w:sz="0" w:space="0"/>
        </w:rPr>
        <w:t>  未获得过市级“四上”企业培育扶持奖励资金的工业法人单位在2020-2022年期间又进入平台的，可以纳入本政策支持范围。工业法人单位因出现关停、注销、行业变更、外迁等情形的，不纳入本政策支持范围。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第七条</w:t>
      </w:r>
      <w:r>
        <w:rPr>
          <w:rFonts w:hint="default" w:ascii="Arial" w:hAnsi="Arial" w:cs="Arial"/>
          <w:i w:val="0"/>
          <w:iCs w:val="0"/>
          <w:caps w:val="0"/>
          <w:color w:val="484747"/>
          <w:spacing w:val="0"/>
          <w:sz w:val="24"/>
          <w:szCs w:val="24"/>
          <w:bdr w:val="none" w:color="auto" w:sz="0" w:space="0"/>
        </w:rPr>
        <w:t>  专项资金补贴标准如下：对符合条件的工业法人单位每家分别给予奖励资金20万元，其中第一年进入平台的奖励10万元，第二年仍在该平台的奖励10万元。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第三章  资金领取、审批及拨付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第八条 </w:t>
      </w:r>
      <w:r>
        <w:rPr>
          <w:rFonts w:hint="default" w:ascii="Arial" w:hAnsi="Arial" w:cs="Arial"/>
          <w:i w:val="0"/>
          <w:iCs w:val="0"/>
          <w:caps w:val="0"/>
          <w:color w:val="484747"/>
          <w:spacing w:val="0"/>
          <w:sz w:val="24"/>
          <w:szCs w:val="24"/>
          <w:bdr w:val="none" w:color="auto" w:sz="0" w:space="0"/>
        </w:rPr>
        <w:t>各区工业和信息化部门提供符合条件的工业法人单位名单，市工业和信息化局会同市有关部门对符合奖励范围的名单进行确认，工业法人单位不需要申报。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第九条 </w:t>
      </w:r>
      <w:r>
        <w:rPr>
          <w:rFonts w:hint="default" w:ascii="Arial" w:hAnsi="Arial" w:cs="Arial"/>
          <w:i w:val="0"/>
          <w:iCs w:val="0"/>
          <w:caps w:val="0"/>
          <w:color w:val="484747"/>
          <w:spacing w:val="0"/>
          <w:sz w:val="24"/>
          <w:szCs w:val="24"/>
          <w:bdr w:val="none" w:color="auto" w:sz="0" w:space="0"/>
        </w:rPr>
        <w:t>市工业和信息化局根据确认的工业法人单位名单拟订扶持奖励资金分配方案，通过“佛山市政府扶持资金综合服务平台”组织企业领取资金。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第四章  监督检查和绩效评价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第十条</w:t>
      </w:r>
      <w:r>
        <w:rPr>
          <w:rFonts w:hint="default" w:ascii="Arial" w:hAnsi="Arial" w:cs="Arial"/>
          <w:i w:val="0"/>
          <w:iCs w:val="0"/>
          <w:caps w:val="0"/>
          <w:color w:val="484747"/>
          <w:spacing w:val="0"/>
          <w:sz w:val="24"/>
          <w:szCs w:val="24"/>
          <w:bdr w:val="none" w:color="auto" w:sz="0" w:space="0"/>
        </w:rPr>
        <w:t>  市工业和信息化部门负责会各区工业和信息化部门对专项资金的使用情况进行监督检查。市财政部门根据工作需要组织开展专项资金的监督检查和绩效管理。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第十一条</w:t>
      </w:r>
      <w:r>
        <w:rPr>
          <w:rFonts w:hint="default" w:ascii="Arial" w:hAnsi="Arial" w:cs="Arial"/>
          <w:i w:val="0"/>
          <w:iCs w:val="0"/>
          <w:caps w:val="0"/>
          <w:color w:val="484747"/>
          <w:spacing w:val="0"/>
          <w:sz w:val="24"/>
          <w:szCs w:val="24"/>
          <w:bdr w:val="none" w:color="auto" w:sz="0" w:space="0"/>
        </w:rPr>
        <w:t>  专项资金使用单位应切实加强财政资金的使用和管理，依法依规使用，并自觉接受工信、财政、审计等部门的监督检查。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　　第五章  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第十二条</w:t>
      </w:r>
      <w:r>
        <w:rPr>
          <w:rFonts w:hint="default" w:ascii="Arial" w:hAnsi="Arial" w:cs="Arial"/>
          <w:i w:val="0"/>
          <w:iCs w:val="0"/>
          <w:caps w:val="0"/>
          <w:color w:val="484747"/>
          <w:spacing w:val="0"/>
          <w:sz w:val="24"/>
          <w:szCs w:val="24"/>
          <w:bdr w:val="none" w:color="auto" w:sz="0" w:space="0"/>
        </w:rPr>
        <w:t>  市工业和信息化部门按照省、市有关规定，在“佛山市政府扶持资金综合服务平台”和局网站上公开如下信息：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（一）专项资金管理办法；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（二）专项资金领取指南，包括领取条件、补贴标准、工作流程、咨询电话等；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（三）其他按规定应公开的内容。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第六章  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第十三条 </w:t>
      </w:r>
      <w:r>
        <w:rPr>
          <w:rFonts w:hint="default" w:ascii="Arial" w:hAnsi="Arial" w:cs="Arial"/>
          <w:i w:val="0"/>
          <w:iCs w:val="0"/>
          <w:caps w:val="0"/>
          <w:color w:val="484747"/>
          <w:spacing w:val="0"/>
          <w:sz w:val="24"/>
          <w:szCs w:val="24"/>
          <w:bdr w:val="none" w:color="auto" w:sz="0" w:space="0"/>
        </w:rPr>
        <w:t> 市、区相关部门工作人员及有关人员在专项资金审批、分配过程中存在违法违规行为的，按照“谁审批，谁负责”的原则，视情节轻重承担相应责任。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第十四条 </w:t>
      </w:r>
      <w:r>
        <w:rPr>
          <w:rFonts w:hint="default" w:ascii="Arial" w:hAnsi="Arial" w:cs="Arial"/>
          <w:i w:val="0"/>
          <w:iCs w:val="0"/>
          <w:caps w:val="0"/>
          <w:color w:val="484747"/>
          <w:spacing w:val="0"/>
          <w:sz w:val="24"/>
          <w:szCs w:val="24"/>
          <w:bdr w:val="none" w:color="auto" w:sz="0" w:space="0"/>
        </w:rPr>
        <w:t> 申领单位在专项资金申领过程中存在违法违规行为的，依法依规作出严肃处理，追回财政专项资金，5年内不得申领专项资金，纳入社会信用体系实施联合惩戒，并向社会公开其违法违规信息。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第十五条</w:t>
      </w:r>
      <w:r>
        <w:rPr>
          <w:rFonts w:hint="default" w:ascii="Arial" w:hAnsi="Arial" w:cs="Arial"/>
          <w:i w:val="0"/>
          <w:iCs w:val="0"/>
          <w:caps w:val="0"/>
          <w:color w:val="484747"/>
          <w:spacing w:val="0"/>
          <w:sz w:val="24"/>
          <w:szCs w:val="24"/>
          <w:bdr w:val="none" w:color="auto" w:sz="0" w:space="0"/>
        </w:rPr>
        <w:t>  对涉及违法违规的责任人员，一律依照有关规定严肃处理；涉嫌犯罪的，依法移交司法机关处理。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484747"/>
          <w:spacing w:val="0"/>
          <w:sz w:val="24"/>
          <w:szCs w:val="24"/>
        </w:rPr>
      </w:pPr>
      <w:r>
        <w:rPr>
          <w:rStyle w:val="5"/>
          <w:rFonts w:hint="default" w:ascii="Arial" w:hAnsi="Arial" w:cs="Arial"/>
          <w:i w:val="0"/>
          <w:iCs w:val="0"/>
          <w:caps w:val="0"/>
          <w:color w:val="484747"/>
          <w:spacing w:val="0"/>
          <w:sz w:val="24"/>
          <w:szCs w:val="24"/>
          <w:bdr w:val="none" w:color="auto" w:sz="0" w:space="0"/>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第十六条</w:t>
      </w:r>
      <w:r>
        <w:rPr>
          <w:rFonts w:hint="default" w:ascii="Arial" w:hAnsi="Arial" w:cs="Arial"/>
          <w:i w:val="0"/>
          <w:iCs w:val="0"/>
          <w:caps w:val="0"/>
          <w:color w:val="484747"/>
          <w:spacing w:val="0"/>
          <w:sz w:val="24"/>
          <w:szCs w:val="24"/>
          <w:bdr w:val="none" w:color="auto" w:sz="0" w:space="0"/>
        </w:rPr>
        <w:t>  此前政策措施与本办法不一致的，以本办法为准。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第十七条</w:t>
      </w:r>
      <w:r>
        <w:rPr>
          <w:rFonts w:hint="default" w:ascii="Arial" w:hAnsi="Arial" w:cs="Arial"/>
          <w:i w:val="0"/>
          <w:iCs w:val="0"/>
          <w:caps w:val="0"/>
          <w:color w:val="484747"/>
          <w:spacing w:val="0"/>
          <w:sz w:val="24"/>
          <w:szCs w:val="24"/>
          <w:bdr w:val="none" w:color="auto" w:sz="0" w:space="0"/>
        </w:rPr>
        <w:t>  项目单位不得以同一实施内容的项目重复申报或多头申报政府专项资金。已获得市级“四上”企业培育扶持奖励资金的工业法人单位不纳入本政策支持范围。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第十八条</w:t>
      </w:r>
      <w:r>
        <w:rPr>
          <w:rFonts w:hint="default" w:ascii="Arial" w:hAnsi="Arial" w:cs="Arial"/>
          <w:i w:val="0"/>
          <w:iCs w:val="0"/>
          <w:caps w:val="0"/>
          <w:color w:val="484747"/>
          <w:spacing w:val="0"/>
          <w:sz w:val="24"/>
          <w:szCs w:val="24"/>
          <w:bdr w:val="none" w:color="auto" w:sz="0" w:space="0"/>
        </w:rPr>
        <w:t>  本办法由市工业和信息化局负责解释。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484747"/>
          <w:spacing w:val="0"/>
          <w:sz w:val="24"/>
          <w:szCs w:val="24"/>
        </w:rPr>
      </w:pPr>
      <w:r>
        <w:rPr>
          <w:rFonts w:hint="default" w:ascii="Arial" w:hAnsi="Arial" w:cs="Arial"/>
          <w:i w:val="0"/>
          <w:iCs w:val="0"/>
          <w:caps w:val="0"/>
          <w:color w:val="484747"/>
          <w:spacing w:val="0"/>
          <w:sz w:val="24"/>
          <w:szCs w:val="24"/>
          <w:bdr w:val="none" w:color="auto" w:sz="0" w:space="0"/>
        </w:rPr>
        <w:t>　　</w:t>
      </w:r>
      <w:r>
        <w:rPr>
          <w:rStyle w:val="5"/>
          <w:rFonts w:hint="default" w:ascii="Arial" w:hAnsi="Arial" w:cs="Arial"/>
          <w:i w:val="0"/>
          <w:iCs w:val="0"/>
          <w:caps w:val="0"/>
          <w:color w:val="484747"/>
          <w:spacing w:val="0"/>
          <w:sz w:val="24"/>
          <w:szCs w:val="24"/>
          <w:bdr w:val="none" w:color="auto" w:sz="0" w:space="0"/>
        </w:rPr>
        <w:t>第十九条 </w:t>
      </w:r>
      <w:r>
        <w:rPr>
          <w:rFonts w:hint="default" w:ascii="Arial" w:hAnsi="Arial" w:cs="Arial"/>
          <w:i w:val="0"/>
          <w:iCs w:val="0"/>
          <w:caps w:val="0"/>
          <w:color w:val="484747"/>
          <w:spacing w:val="0"/>
          <w:sz w:val="24"/>
          <w:szCs w:val="24"/>
          <w:bdr w:val="none" w:color="auto" w:sz="0" w:space="0"/>
        </w:rPr>
        <w:t> 本办法自印发之日起实施，有效期至2024年12月31日。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599C6383"/>
    <w:rsid w:val="599C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2023-07-06T08:25:00Z</dcterms:created>
  <dc:creator>昭信婕</dc:creator>
  <cp:lastModifiedBy>昭信婕</cp:lastModifiedBy>
  <dcterms:modified xsi:type="dcterms:W3CDTF">2023-07-06T08:26:11Z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23A7A41317D3406FA95A09B6EF1CF871_11</vt:lpwstr>
  </property>
</Properties>
</file>